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BE088" w14:textId="6B5B587F" w:rsidR="00537A88" w:rsidRDefault="002F0379">
      <w:pPr>
        <w:pBdr>
          <w:top w:val="single" w:sz="8" w:space="1" w:color="548DD4"/>
          <w:left w:val="nil"/>
          <w:bottom w:val="nil"/>
          <w:right w:val="nil"/>
          <w:between w:val="nil"/>
        </w:pBdr>
        <w:spacing w:after="0" w:line="360" w:lineRule="auto"/>
        <w:jc w:val="both"/>
        <w:rPr>
          <w:rFonts w:ascii="NewsGoth Cn BT" w:eastAsia="NewsGoth Cn BT" w:hAnsi="NewsGoth Cn BT" w:cs="NewsGoth Cn BT"/>
          <w:color w:val="000000"/>
          <w:sz w:val="30"/>
          <w:szCs w:val="30"/>
        </w:rPr>
      </w:pPr>
      <w:r>
        <w:rPr>
          <w:rFonts w:ascii="NewsGoth Cn BT" w:eastAsia="NewsGoth Cn BT" w:hAnsi="NewsGoth Cn BT" w:cs="NewsGoth Cn BT"/>
          <w:noProof/>
          <w:color w:val="000000"/>
          <w:sz w:val="30"/>
          <w:szCs w:val="30"/>
        </w:rPr>
        <w:drawing>
          <wp:anchor distT="0" distB="0" distL="114300" distR="114300" simplePos="0" relativeHeight="251659264" behindDoc="0" locked="0" layoutInCell="1" allowOverlap="1" wp14:anchorId="17859BAC" wp14:editId="44950CF6">
            <wp:simplePos x="0" y="0"/>
            <wp:positionH relativeFrom="column">
              <wp:posOffset>113665</wp:posOffset>
            </wp:positionH>
            <wp:positionV relativeFrom="paragraph">
              <wp:posOffset>-671830</wp:posOffset>
            </wp:positionV>
            <wp:extent cx="596900" cy="596900"/>
            <wp:effectExtent l="0" t="0" r="0" b="0"/>
            <wp:wrapNone/>
            <wp:docPr id="13342339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6900" cy="596900"/>
                    </a:xfrm>
                    <a:prstGeom prst="rect">
                      <a:avLst/>
                    </a:prstGeom>
                  </pic:spPr>
                </pic:pic>
              </a:graphicData>
            </a:graphic>
            <wp14:sizeRelH relativeFrom="margin">
              <wp14:pctWidth>0</wp14:pctWidth>
            </wp14:sizeRelH>
            <wp14:sizeRelV relativeFrom="margin">
              <wp14:pctHeight>0</wp14:pctHeight>
            </wp14:sizeRelV>
          </wp:anchor>
        </w:drawing>
      </w:r>
      <w:r>
        <w:rPr>
          <w:rFonts w:ascii="NewsGoth Cn BT" w:eastAsia="NewsGoth Cn BT" w:hAnsi="NewsGoth Cn BT" w:cs="NewsGoth Cn BT"/>
          <w:noProof/>
          <w:color w:val="000000"/>
          <w:sz w:val="30"/>
          <w:szCs w:val="30"/>
        </w:rPr>
        <mc:AlternateContent>
          <mc:Choice Requires="wpg">
            <w:drawing>
              <wp:anchor distT="0" distB="0" distL="114300" distR="114300" simplePos="0" relativeHeight="251658240" behindDoc="1" locked="0" layoutInCell="1" allowOverlap="1" wp14:anchorId="4875D888" wp14:editId="2094D516">
                <wp:simplePos x="0" y="0"/>
                <wp:positionH relativeFrom="column">
                  <wp:posOffset>393065</wp:posOffset>
                </wp:positionH>
                <wp:positionV relativeFrom="paragraph">
                  <wp:posOffset>-703580</wp:posOffset>
                </wp:positionV>
                <wp:extent cx="6102350" cy="808990"/>
                <wp:effectExtent l="0" t="0" r="0" b="0"/>
                <wp:wrapNone/>
                <wp:docPr id="23052935" name="Group 5"/>
                <wp:cNvGraphicFramePr/>
                <a:graphic xmlns:a="http://schemas.openxmlformats.org/drawingml/2006/main">
                  <a:graphicData uri="http://schemas.microsoft.com/office/word/2010/wordprocessingGroup">
                    <wpg:wgp>
                      <wpg:cNvGrpSpPr/>
                      <wpg:grpSpPr>
                        <a:xfrm>
                          <a:off x="0" y="0"/>
                          <a:ext cx="6102350" cy="808990"/>
                          <a:chOff x="495300" y="44451"/>
                          <a:chExt cx="6102350" cy="809625"/>
                        </a:xfrm>
                      </wpg:grpSpPr>
                      <wps:wsp>
                        <wps:cNvPr id="2023647878" name="Rectangle 2023647878"/>
                        <wps:cNvSpPr/>
                        <wps:spPr>
                          <a:xfrm>
                            <a:off x="495300" y="44451"/>
                            <a:ext cx="6102350" cy="809625"/>
                          </a:xfrm>
                          <a:prstGeom prst="rect">
                            <a:avLst/>
                          </a:prstGeom>
                          <a:noFill/>
                          <a:ln>
                            <a:noFill/>
                          </a:ln>
                        </wps:spPr>
                        <wps:txbx>
                          <w:txbxContent>
                            <w:p w14:paraId="089D3AF5" w14:textId="77777777" w:rsidR="00537A88" w:rsidRDefault="00537A88">
                              <w:pPr>
                                <w:spacing w:after="0" w:line="240" w:lineRule="auto"/>
                                <w:textDirection w:val="btLr"/>
                              </w:pPr>
                            </w:p>
                          </w:txbxContent>
                        </wps:txbx>
                        <wps:bodyPr spcFirstLastPara="1" wrap="square" lIns="91425" tIns="91425" rIns="91425" bIns="91425" anchor="ctr" anchorCtr="0">
                          <a:noAutofit/>
                        </wps:bodyPr>
                      </wps:wsp>
                      <wps:wsp>
                        <wps:cNvPr id="1006255824" name="Rectangle 1006255824"/>
                        <wps:cNvSpPr/>
                        <wps:spPr>
                          <a:xfrm>
                            <a:off x="812800" y="89411"/>
                            <a:ext cx="5257800" cy="654050"/>
                          </a:xfrm>
                          <a:prstGeom prst="rect">
                            <a:avLst/>
                          </a:prstGeom>
                          <a:solidFill>
                            <a:srgbClr val="FFFFFF"/>
                          </a:solidFill>
                          <a:ln>
                            <a:noFill/>
                          </a:ln>
                        </wps:spPr>
                        <wps:txbx>
                          <w:txbxContent>
                            <w:p w14:paraId="6FC58456" w14:textId="77777777" w:rsidR="00537A88" w:rsidRDefault="00D24A94">
                              <w:pPr>
                                <w:spacing w:after="0" w:line="258" w:lineRule="auto"/>
                                <w:textDirection w:val="btLr"/>
                              </w:pPr>
                              <w:r>
                                <w:rPr>
                                  <w:rFonts w:ascii="NewsGoth Cn BT" w:eastAsia="NewsGoth Cn BT" w:hAnsi="NewsGoth Cn BT" w:cs="NewsGoth Cn BT"/>
                                  <w:b/>
                                  <w:color w:val="000000"/>
                                  <w:sz w:val="26"/>
                                </w:rPr>
                                <w:t>Basileia: Jurnal Filsafat dan Teologi</w:t>
                              </w:r>
                            </w:p>
                            <w:p w14:paraId="0772BDAC" w14:textId="222BAC95" w:rsidR="00537A88" w:rsidRDefault="00D24A94">
                              <w:pPr>
                                <w:spacing w:after="0" w:line="258" w:lineRule="auto"/>
                                <w:textDirection w:val="btLr"/>
                              </w:pPr>
                              <w:r>
                                <w:rPr>
                                  <w:rFonts w:ascii="NewsGoth Cn BT" w:eastAsia="NewsGoth Cn BT" w:hAnsi="NewsGoth Cn BT" w:cs="NewsGoth Cn BT"/>
                                  <w:color w:val="000000"/>
                                </w:rPr>
                                <w:t>ISSN:</w:t>
                              </w:r>
                              <w:r w:rsidR="002F0379">
                                <w:rPr>
                                  <w:rFonts w:ascii="NewsGoth Cn BT" w:eastAsia="NewsGoth Cn BT" w:hAnsi="NewsGoth Cn BT" w:cs="NewsGoth Cn BT"/>
                                  <w:color w:val="000000"/>
                                </w:rPr>
                                <w:t xml:space="preserve"> </w:t>
                              </w:r>
                              <w:r w:rsidR="002F0379">
                                <w:rPr>
                                  <w:rFonts w:ascii="CMBX10" w:eastAsia="CMBX10" w:hAnsi="CMBX10" w:cs="CMBX10"/>
                                  <w:color w:val="000000"/>
                                  <w:sz w:val="20"/>
                                </w:rPr>
                                <w:t>xxxx-xxx</w:t>
                              </w:r>
                              <w:r>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Pr>
                                  <w:rFonts w:ascii="NewsGoth Cn BT" w:eastAsia="NewsGoth Cn BT" w:hAnsi="NewsGoth Cn BT" w:cs="NewsGoth Cn BT"/>
                                  <w:color w:val="000000"/>
                                </w:rPr>
                                <w:t xml:space="preserve">DOI: </w:t>
                              </w:r>
                              <w:r w:rsidR="002F0379">
                                <w:rPr>
                                  <w:rFonts w:ascii="NewsGoth Cn BT" w:eastAsia="NewsGoth Cn BT" w:hAnsi="NewsGoth Cn BT" w:cs="NewsGoth Cn BT"/>
                                  <w:color w:val="000000"/>
                                </w:rPr>
                                <w:t>xx.xxxx</w:t>
                              </w:r>
                              <w:r>
                                <w:rPr>
                                  <w:rFonts w:ascii="NewsGoth Cn BT" w:eastAsia="NewsGoth Cn BT" w:hAnsi="NewsGoth Cn BT" w:cs="NewsGoth Cn BT"/>
                                  <w:color w:val="000000"/>
                                </w:rPr>
                                <w:t>/</w:t>
                              </w:r>
                              <w:r w:rsidR="002F0379">
                                <w:rPr>
                                  <w:rFonts w:ascii="NewsGoth Cn BT" w:eastAsia="NewsGoth Cn BT" w:hAnsi="NewsGoth Cn BT" w:cs="NewsGoth Cn BT"/>
                                  <w:color w:val="000000"/>
                                </w:rPr>
                                <w:t>basileia</w:t>
                              </w:r>
                              <w:r>
                                <w:rPr>
                                  <w:rFonts w:ascii="NewsGoth Cn BT" w:eastAsia="NewsGoth Cn BT" w:hAnsi="NewsGoth Cn BT" w:cs="NewsGoth Cn BT"/>
                                  <w:color w:val="000000"/>
                                </w:rPr>
                                <w:t>.xxxxxxx</w:t>
                              </w:r>
                            </w:p>
                            <w:p w14:paraId="57E32EA6" w14:textId="7690C405" w:rsidR="00537A88" w:rsidRDefault="00D24A94">
                              <w:pPr>
                                <w:spacing w:after="0" w:line="258" w:lineRule="auto"/>
                                <w:textDirection w:val="btLr"/>
                              </w:pPr>
                              <w:r>
                                <w:rPr>
                                  <w:rFonts w:ascii="NewsGoth Cn BT" w:eastAsia="NewsGoth Cn BT" w:hAnsi="NewsGoth Cn BT" w:cs="NewsGoth Cn BT"/>
                                  <w:color w:val="000000"/>
                                </w:rPr>
                                <w:t>Volume x, No xx, Bulan 202x; (page x-xx)</w:t>
                              </w:r>
                              <w:r>
                                <w:rPr>
                                  <w:rFonts w:ascii="NewsGoth Cn BT" w:eastAsia="NewsGoth Cn BT" w:hAnsi="NewsGoth Cn BT" w:cs="NewsGoth Cn BT"/>
                                  <w:color w:val="000000"/>
                                </w:rPr>
                                <w:tab/>
                              </w:r>
                              <w:r>
                                <w:rPr>
                                  <w:rFonts w:ascii="Times New Roman" w:eastAsia="Times New Roman" w:hAnsi="Times New Roman" w:cs="Times New Roman"/>
                                  <w:i/>
                                  <w:color w:val="000000"/>
                                  <w:sz w:val="18"/>
                                </w:rPr>
                                <w:t xml:space="preserve">Available at: </w:t>
                              </w:r>
                              <w:r w:rsidR="002F0379" w:rsidRPr="002F0379">
                                <w:rPr>
                                  <w:rFonts w:ascii="Times New Roman" w:eastAsia="Times New Roman" w:hAnsi="Times New Roman" w:cs="Times New Roman"/>
                                  <w:color w:val="000000"/>
                                  <w:sz w:val="18"/>
                                </w:rPr>
                                <w:t>https://basileia.uasn.ac.id/</w:t>
                              </w:r>
                              <w:r>
                                <w:rPr>
                                  <w:rFonts w:ascii="Times New Roman" w:eastAsia="Times New Roman" w:hAnsi="Times New Roman" w:cs="Times New Roman"/>
                                  <w:i/>
                                  <w:color w:val="000000"/>
                                  <w:sz w:val="18"/>
                                </w:rPr>
                                <w:t xml:space="preserve">  </w:t>
                              </w:r>
                            </w:p>
                            <w:p w14:paraId="418174DD" w14:textId="77777777" w:rsidR="00537A88" w:rsidRDefault="00537A88">
                              <w:pPr>
                                <w:spacing w:after="0" w:line="240" w:lineRule="auto"/>
                                <w:ind w:left="-141" w:hanging="282"/>
                                <w:textDirection w:val="btLr"/>
                              </w:pPr>
                            </w:p>
                            <w:p w14:paraId="1E6D24F8" w14:textId="77777777" w:rsidR="00537A88" w:rsidRDefault="00537A88">
                              <w:pPr>
                                <w:spacing w:after="0" w:line="240" w:lineRule="auto"/>
                                <w:ind w:left="-141" w:hanging="282"/>
                                <w:textDirection w:val="btLr"/>
                              </w:pPr>
                            </w:p>
                          </w:txbxContent>
                        </wps:txbx>
                        <wps:bodyPr spcFirstLastPara="1" wrap="square" lIns="91425" tIns="45700" rIns="91425" bIns="45700" anchor="t" anchorCtr="0">
                          <a:noAutofit/>
                        </wps:bodyPr>
                      </wps:wsp>
                    </wpg:wg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w:pict>
              <v:group w14:anchorId="4875D888" id="Group 5" o:spid="_x0000_s1026" style="position:absolute;left:0;text-align:left;margin-left:30.95pt;margin-top:-55.4pt;width:480.5pt;height:63.7pt;z-index:-251658240;mso-width-relative:margin" coordorigin="4953,444" coordsize="61023,8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">
                <v:rect id="Rectangle 2023647878" o:spid="_x0000_s1027" style="position:absolute;left:4953;top:444;width:61023;height:8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" filled="f" stroked="f">
                  <v:textbox inset="2.53958mm,2.53958mm,2.53958mm,2.53958mm">
                    <w:txbxContent>
                      <w:p w14:paraId="089D3AF5" w14:textId="77777777" w:rsidR="00537A88" w:rsidRDefault="00537A88">
                        <w:pPr>
                          <w:spacing w:after="0" w:line="240" w:lineRule="auto"/>
                          <w:textDirection w:val="btLr"/>
                        </w:pPr>
                      </w:p>
                    </w:txbxContent>
                  </v:textbox>
                </v:rect>
                <v:rect id="Rectangle 1006255824" o:spid="_x0000_s1028" style="position:absolute;left:8128;top:894;width:52578;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" stroked="f">
                  <v:textbox inset="2.53958mm,1.2694mm,2.53958mm,1.2694mm">
                    <w:txbxContent>
                      <w:p w14:paraId="6FC58456" w14:textId="77777777" w:rsidR="00537A88" w:rsidRDefault="00D24A94">
                        <w:pPr>
                          <w:spacing w:after="0" w:line="258" w:lineRule="auto"/>
                          <w:textDirection w:val="btLr"/>
                        </w:pPr>
                        <w:r>
                          <w:rPr>
                            <w:rFonts w:ascii="NewsGoth Cn BT" w:eastAsia="NewsGoth Cn BT" w:hAnsi="NewsGoth Cn BT" w:cs="NewsGoth Cn BT"/>
                            <w:b/>
                            <w:color w:val="000000"/>
                            <w:sz w:val="26"/>
                          </w:rPr>
                          <w:t>Basileia: Jurnal Filsafat dan Teologi</w:t>
                        </w:r>
                      </w:p>
                      <w:p w14:paraId="0772BDAC" w14:textId="222BAC95" w:rsidR="00537A88" w:rsidRDefault="00D24A94">
                        <w:pPr>
                          <w:spacing w:after="0" w:line="258" w:lineRule="auto"/>
                          <w:textDirection w:val="btLr"/>
                        </w:pPr>
                        <w:r>
                          <w:rPr>
                            <w:rFonts w:ascii="NewsGoth Cn BT" w:eastAsia="NewsGoth Cn BT" w:hAnsi="NewsGoth Cn BT" w:cs="NewsGoth Cn BT"/>
                            <w:color w:val="000000"/>
                          </w:rPr>
                          <w:t>ISSN:</w:t>
                        </w:r>
                        <w:r w:rsidR="002F0379">
                          <w:rPr>
                            <w:rFonts w:ascii="NewsGoth Cn BT" w:eastAsia="NewsGoth Cn BT" w:hAnsi="NewsGoth Cn BT" w:cs="NewsGoth Cn BT"/>
                            <w:color w:val="000000"/>
                          </w:rPr>
                          <w:t xml:space="preserve"> </w:t>
                        </w:r>
                        <w:r w:rsidR="002F0379">
                          <w:rPr>
                            <w:rFonts w:ascii="CMBX10" w:eastAsia="CMBX10" w:hAnsi="CMBX10" w:cs="CMBX10"/>
                            <w:color w:val="000000"/>
                            <w:sz w:val="20"/>
                          </w:rPr>
                          <w:t>xxxx-xxx</w:t>
                        </w:r>
                        <w:r>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sidR="002F0379">
                          <w:rPr>
                            <w:rFonts w:ascii="NewsGoth Cn BT" w:eastAsia="NewsGoth Cn BT" w:hAnsi="NewsGoth Cn BT" w:cs="NewsGoth Cn BT"/>
                            <w:color w:val="000000"/>
                          </w:rPr>
                          <w:tab/>
                        </w:r>
                        <w:r>
                          <w:rPr>
                            <w:rFonts w:ascii="NewsGoth Cn BT" w:eastAsia="NewsGoth Cn BT" w:hAnsi="NewsGoth Cn BT" w:cs="NewsGoth Cn BT"/>
                            <w:color w:val="000000"/>
                          </w:rPr>
                          <w:t xml:space="preserve">DOI: </w:t>
                        </w:r>
                        <w:r w:rsidR="002F0379">
                          <w:rPr>
                            <w:rFonts w:ascii="NewsGoth Cn BT" w:eastAsia="NewsGoth Cn BT" w:hAnsi="NewsGoth Cn BT" w:cs="NewsGoth Cn BT"/>
                            <w:color w:val="000000"/>
                          </w:rPr>
                          <w:t>xx.xxxx</w:t>
                        </w:r>
                        <w:r>
                          <w:rPr>
                            <w:rFonts w:ascii="NewsGoth Cn BT" w:eastAsia="NewsGoth Cn BT" w:hAnsi="NewsGoth Cn BT" w:cs="NewsGoth Cn BT"/>
                            <w:color w:val="000000"/>
                          </w:rPr>
                          <w:t>/</w:t>
                        </w:r>
                        <w:r w:rsidR="002F0379">
                          <w:rPr>
                            <w:rFonts w:ascii="NewsGoth Cn BT" w:eastAsia="NewsGoth Cn BT" w:hAnsi="NewsGoth Cn BT" w:cs="NewsGoth Cn BT"/>
                            <w:color w:val="000000"/>
                          </w:rPr>
                          <w:t>basileia</w:t>
                        </w:r>
                        <w:r>
                          <w:rPr>
                            <w:rFonts w:ascii="NewsGoth Cn BT" w:eastAsia="NewsGoth Cn BT" w:hAnsi="NewsGoth Cn BT" w:cs="NewsGoth Cn BT"/>
                            <w:color w:val="000000"/>
                          </w:rPr>
                          <w:t>.xxxxxxx</w:t>
                        </w:r>
                      </w:p>
                      <w:p w14:paraId="57E32EA6" w14:textId="7690C405" w:rsidR="00537A88" w:rsidRDefault="00D24A94">
                        <w:pPr>
                          <w:spacing w:after="0" w:line="258" w:lineRule="auto"/>
                          <w:textDirection w:val="btLr"/>
                        </w:pPr>
                        <w:r>
                          <w:rPr>
                            <w:rFonts w:ascii="NewsGoth Cn BT" w:eastAsia="NewsGoth Cn BT" w:hAnsi="NewsGoth Cn BT" w:cs="NewsGoth Cn BT"/>
                            <w:color w:val="000000"/>
                          </w:rPr>
                          <w:t>Volume x, No xx, Bulan 202x; (page x-xx)</w:t>
                        </w:r>
                        <w:r>
                          <w:rPr>
                            <w:rFonts w:ascii="NewsGoth Cn BT" w:eastAsia="NewsGoth Cn BT" w:hAnsi="NewsGoth Cn BT" w:cs="NewsGoth Cn BT"/>
                            <w:color w:val="000000"/>
                          </w:rPr>
                          <w:tab/>
                        </w:r>
                        <w:r>
                          <w:rPr>
                            <w:rFonts w:ascii="Times New Roman" w:eastAsia="Times New Roman" w:hAnsi="Times New Roman" w:cs="Times New Roman"/>
                            <w:i/>
                            <w:color w:val="000000"/>
                            <w:sz w:val="18"/>
                          </w:rPr>
                          <w:t xml:space="preserve">Available at: </w:t>
                        </w:r>
                        <w:r w:rsidR="002F0379" w:rsidRPr="002F0379">
                          <w:rPr>
                            <w:rFonts w:ascii="Times New Roman" w:eastAsia="Times New Roman" w:hAnsi="Times New Roman" w:cs="Times New Roman"/>
                            <w:color w:val="000000"/>
                            <w:sz w:val="18"/>
                          </w:rPr>
                          <w:t>https://basileia.uasn.ac.id/</w:t>
                        </w:r>
                        <w:r>
                          <w:rPr>
                            <w:rFonts w:ascii="Times New Roman" w:eastAsia="Times New Roman" w:hAnsi="Times New Roman" w:cs="Times New Roman"/>
                            <w:i/>
                            <w:color w:val="000000"/>
                            <w:sz w:val="18"/>
                          </w:rPr>
                          <w:t xml:space="preserve">  </w:t>
                        </w:r>
                      </w:p>
                      <w:p w14:paraId="418174DD" w14:textId="77777777" w:rsidR="00537A88" w:rsidRDefault="00537A88">
                        <w:pPr>
                          <w:spacing w:after="0" w:line="240" w:lineRule="auto"/>
                          <w:ind w:left="-141" w:hanging="282"/>
                          <w:textDirection w:val="btLr"/>
                        </w:pPr>
                      </w:p>
                      <w:p w14:paraId="1E6D24F8" w14:textId="77777777" w:rsidR="00537A88" w:rsidRDefault="00537A88">
                        <w:pPr>
                          <w:spacing w:after="0" w:line="240" w:lineRule="auto"/>
                          <w:ind w:left="-141" w:hanging="282"/>
                          <w:textDirection w:val="btLr"/>
                        </w:pPr>
                      </w:p>
                    </w:txbxContent>
                  </v:textbox>
                </v:rect>
              </v:group>
            </w:pict>
          </mc:Fallback>
        </mc:AlternateContent>
      </w:r>
    </w:p>
    <w:p w14:paraId="6B51B252" w14:textId="2C51D920" w:rsidR="00537A88" w:rsidRPr="008D548F" w:rsidRDefault="008D548F">
      <w:pPr>
        <w:pBdr>
          <w:top w:val="nil"/>
          <w:left w:val="nil"/>
          <w:bottom w:val="nil"/>
          <w:right w:val="nil"/>
          <w:between w:val="nil"/>
        </w:pBdr>
        <w:spacing w:after="0" w:line="240" w:lineRule="auto"/>
        <w:jc w:val="both"/>
        <w:rPr>
          <w:rFonts w:ascii="NewsGoth Cn BT" w:eastAsia="NewsGoth Cn BT" w:hAnsi="NewsGoth Cn BT" w:cs="NewsGoth Cn BT"/>
          <w:color w:val="000000"/>
          <w:sz w:val="30"/>
          <w:szCs w:val="30"/>
        </w:rPr>
      </w:pPr>
      <w:r w:rsidRPr="008D548F">
        <w:rPr>
          <w:rFonts w:ascii="NewsGoth Cn BT" w:eastAsia="NewsGoth Cn BT" w:hAnsi="NewsGoth Cn BT" w:cs="NewsGoth Cn BT"/>
          <w:b/>
          <w:sz w:val="30"/>
          <w:szCs w:val="30"/>
          <w:lang w:val="id"/>
        </w:rPr>
        <w:t>SOTERIOLOGI ELLEN G. WHITE: ANALISIS KOMPARATIF PANDANGAN TENTANG KESELAMATAN DALAM PENGUDUSAN ALKITAB (1882) DAN LANGKAH-LANGKAH</w:t>
      </w:r>
      <w:r>
        <w:rPr>
          <w:rFonts w:ascii="NewsGoth Cn BT" w:eastAsia="NewsGoth Cn BT" w:hAnsi="NewsGoth Cn BT" w:cs="NewsGoth Cn BT"/>
          <w:b/>
          <w:sz w:val="30"/>
          <w:szCs w:val="30"/>
        </w:rPr>
        <w:t xml:space="preserve"> </w:t>
      </w:r>
      <w:r w:rsidRPr="008D548F">
        <w:rPr>
          <w:rFonts w:ascii="NewsGoth Cn BT" w:eastAsia="NewsGoth Cn BT" w:hAnsi="NewsGoth Cn BT" w:cs="NewsGoth Cn BT"/>
          <w:b/>
          <w:sz w:val="30"/>
          <w:szCs w:val="30"/>
          <w:lang w:val="id"/>
        </w:rPr>
        <w:t>KEPADA KRISTUS (1892)</w:t>
      </w:r>
    </w:p>
    <w:p w14:paraId="3832E9BA" w14:textId="77777777" w:rsidR="00537A88" w:rsidRDefault="00537A88">
      <w:pPr>
        <w:pBdr>
          <w:top w:val="nil"/>
          <w:left w:val="nil"/>
          <w:bottom w:val="nil"/>
          <w:right w:val="nil"/>
          <w:between w:val="nil"/>
        </w:pBdr>
        <w:spacing w:after="0" w:line="240" w:lineRule="auto"/>
        <w:rPr>
          <w:rFonts w:ascii="Cambria" w:eastAsia="Cambria" w:hAnsi="Cambria" w:cs="Cambria"/>
          <w:color w:val="000000"/>
          <w:sz w:val="24"/>
          <w:szCs w:val="24"/>
        </w:rPr>
      </w:pPr>
    </w:p>
    <w:p w14:paraId="143D5AD1" w14:textId="2DAFF9C4" w:rsidR="00537A88" w:rsidRDefault="008D548F">
      <w:pPr>
        <w:spacing w:after="0" w:line="240" w:lineRule="auto"/>
        <w:ind w:left="1140"/>
        <w:jc w:val="both"/>
        <w:rPr>
          <w:rFonts w:ascii="Cambria" w:eastAsia="Cambria" w:hAnsi="Cambria" w:cs="Cambria"/>
          <w:sz w:val="24"/>
          <w:szCs w:val="24"/>
        </w:rPr>
      </w:pPr>
      <w:r w:rsidRPr="008D548F">
        <w:rPr>
          <w:rFonts w:ascii="Cambria" w:eastAsia="Cambria" w:hAnsi="Cambria" w:cs="Cambria"/>
          <w:sz w:val="24"/>
          <w:szCs w:val="24"/>
          <w:lang w:val="id"/>
        </w:rPr>
        <w:t>Joseph H. Sianipar</w:t>
      </w:r>
      <w:r w:rsidR="00D24A94">
        <w:rPr>
          <w:rFonts w:ascii="Cambria" w:eastAsia="Cambria" w:hAnsi="Cambria" w:cs="Cambria"/>
          <w:sz w:val="24"/>
          <w:szCs w:val="24"/>
        </w:rPr>
        <w:t xml:space="preserve"> </w:t>
      </w:r>
    </w:p>
    <w:p w14:paraId="10D1BA07" w14:textId="1F2657F8" w:rsidR="00537A88" w:rsidRDefault="00010DB0">
      <w:pPr>
        <w:spacing w:after="0" w:line="240" w:lineRule="auto"/>
        <w:ind w:left="1134"/>
        <w:jc w:val="both"/>
        <w:rPr>
          <w:rFonts w:ascii="Cambria" w:eastAsia="Cambria" w:hAnsi="Cambria" w:cs="Cambria"/>
          <w:sz w:val="24"/>
          <w:szCs w:val="24"/>
        </w:rPr>
      </w:pPr>
      <w:r w:rsidRPr="00010DB0">
        <w:rPr>
          <w:rFonts w:ascii="Cambria" w:eastAsia="Cambria" w:hAnsi="Cambria" w:cs="Cambria"/>
          <w:sz w:val="24"/>
          <w:szCs w:val="24"/>
        </w:rPr>
        <w:t>Theology Lecturer at Surya Nusantara Adventist University</w:t>
      </w:r>
    </w:p>
    <w:p w14:paraId="58DA5790" w14:textId="25BF3350" w:rsidR="00537A88" w:rsidRPr="00924CCB" w:rsidRDefault="00010DB0" w:rsidP="00924CCB">
      <w:pPr>
        <w:spacing w:after="0" w:line="240" w:lineRule="auto"/>
        <w:ind w:left="414" w:firstLine="720"/>
        <w:jc w:val="both"/>
        <w:rPr>
          <w:rFonts w:ascii="Cambria" w:eastAsia="Cambria" w:hAnsi="Cambria" w:cs="Cambria"/>
          <w:i/>
          <w:color w:val="4F81BD" w:themeColor="accent1"/>
          <w:sz w:val="24"/>
          <w:szCs w:val="24"/>
        </w:rPr>
      </w:pPr>
      <w:r w:rsidRPr="00010DB0">
        <w:rPr>
          <w:rFonts w:ascii="Cambria" w:eastAsia="Cambria" w:hAnsi="Cambria" w:cs="Cambria"/>
          <w:i/>
          <w:color w:val="000000"/>
          <w:sz w:val="24"/>
          <w:szCs w:val="24"/>
        </w:rPr>
        <w:t xml:space="preserve"> </w:t>
      </w:r>
      <w:bookmarkStart w:id="0" w:name="_GoBack"/>
      <w:r w:rsidRPr="00924CCB">
        <w:rPr>
          <w:rFonts w:ascii="Cambria" w:eastAsia="Cambria" w:hAnsi="Cambria" w:cs="Cambria"/>
          <w:i/>
          <w:color w:val="4F81BD" w:themeColor="accent1"/>
          <w:sz w:val="24"/>
          <w:szCs w:val="24"/>
        </w:rPr>
        <w:t>josephhsianipar@gmail.com</w:t>
      </w:r>
    </w:p>
    <w:bookmarkEnd w:id="0"/>
    <w:p w14:paraId="4B5E11EB" w14:textId="77777777" w:rsidR="00537A88" w:rsidRDefault="00537A88">
      <w:pPr>
        <w:spacing w:after="0" w:line="240" w:lineRule="auto"/>
        <w:ind w:left="1134"/>
        <w:jc w:val="both"/>
        <w:rPr>
          <w:rFonts w:ascii="Cambria" w:eastAsia="Cambria" w:hAnsi="Cambria" w:cs="Cambria"/>
          <w:i/>
          <w:sz w:val="24"/>
          <w:szCs w:val="24"/>
        </w:rPr>
      </w:pPr>
    </w:p>
    <w:tbl>
      <w:tblPr>
        <w:tblStyle w:val="a1"/>
        <w:tblpPr w:leftFromText="180" w:rightFromText="180" w:vertAnchor="page" w:horzAnchor="page" w:tblpX="967" w:tblpY="4962"/>
        <w:tblW w:w="1592" w:type="dxa"/>
        <w:tblLayout w:type="fixed"/>
        <w:tblLook w:val="0000" w:firstRow="0" w:lastRow="0" w:firstColumn="0" w:lastColumn="0" w:noHBand="0" w:noVBand="0"/>
      </w:tblPr>
      <w:tblGrid>
        <w:gridCol w:w="1592"/>
      </w:tblGrid>
      <w:tr w:rsidR="00537A88" w14:paraId="65B0A686" w14:textId="77777777" w:rsidTr="002F0379">
        <w:trPr>
          <w:trHeight w:val="903"/>
        </w:trPr>
        <w:tc>
          <w:tcPr>
            <w:tcW w:w="1592" w:type="dxa"/>
            <w:tcBorders>
              <w:top w:val="single" w:sz="4" w:space="0" w:color="auto"/>
              <w:left w:val="single" w:sz="4" w:space="0" w:color="auto"/>
              <w:bottom w:val="single" w:sz="4" w:space="0" w:color="auto"/>
              <w:right w:val="single" w:sz="4" w:space="0" w:color="auto"/>
            </w:tcBorders>
          </w:tcPr>
          <w:p w14:paraId="72E23FB5" w14:textId="77777777" w:rsidR="00537A88" w:rsidRDefault="00537A88">
            <w:pPr>
              <w:spacing w:after="0" w:line="100" w:lineRule="auto"/>
              <w:rPr>
                <w:sz w:val="10"/>
                <w:szCs w:val="10"/>
              </w:rPr>
            </w:pPr>
            <w:bookmarkStart w:id="1" w:name="_heading=h.amdh6yjuhxgl" w:colFirst="0" w:colLast="0"/>
            <w:bookmarkEnd w:id="1"/>
          </w:p>
          <w:p w14:paraId="6CB2ECB3" w14:textId="77777777" w:rsidR="00537A88" w:rsidRDefault="00537A88">
            <w:pPr>
              <w:spacing w:after="0" w:line="200" w:lineRule="auto"/>
            </w:pPr>
          </w:p>
          <w:p w14:paraId="272F893D" w14:textId="77777777" w:rsidR="00537A88" w:rsidRDefault="00D24A94">
            <w:pPr>
              <w:spacing w:after="0"/>
              <w:ind w:left="289"/>
              <w:rPr>
                <w:sz w:val="18"/>
                <w:szCs w:val="18"/>
              </w:rPr>
            </w:pPr>
            <w:r>
              <w:rPr>
                <w:b/>
                <w:sz w:val="18"/>
                <w:szCs w:val="18"/>
              </w:rPr>
              <w:t>Article History</w:t>
            </w:r>
          </w:p>
        </w:tc>
      </w:tr>
      <w:tr w:rsidR="00537A88" w14:paraId="4D58D17B"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44F159D1" w14:textId="77777777" w:rsidR="00537A88" w:rsidRDefault="00537A88">
            <w:pPr>
              <w:spacing w:after="0" w:line="180" w:lineRule="auto"/>
              <w:rPr>
                <w:sz w:val="19"/>
                <w:szCs w:val="19"/>
              </w:rPr>
            </w:pPr>
          </w:p>
          <w:p w14:paraId="7A0F796B" w14:textId="77777777" w:rsidR="00537A88" w:rsidRDefault="00D24A94">
            <w:pPr>
              <w:spacing w:after="0"/>
              <w:ind w:left="454" w:right="348"/>
              <w:rPr>
                <w:sz w:val="18"/>
                <w:szCs w:val="18"/>
              </w:rPr>
            </w:pPr>
            <w:r>
              <w:rPr>
                <w:b/>
                <w:sz w:val="18"/>
                <w:szCs w:val="18"/>
              </w:rPr>
              <w:t>Received</w:t>
            </w:r>
          </w:p>
          <w:p w14:paraId="3EB1FD8D" w14:textId="77777777" w:rsidR="00537A88" w:rsidRDefault="00D24A94">
            <w:pPr>
              <w:spacing w:after="0" w:line="200" w:lineRule="auto"/>
              <w:ind w:left="72" w:right="-32"/>
              <w:jc w:val="center"/>
              <w:rPr>
                <w:sz w:val="18"/>
                <w:szCs w:val="18"/>
              </w:rPr>
            </w:pPr>
            <w:r>
              <w:rPr>
                <w:sz w:val="18"/>
                <w:szCs w:val="18"/>
              </w:rPr>
              <w:t>dd-mm-yyyy</w:t>
            </w:r>
          </w:p>
        </w:tc>
      </w:tr>
      <w:tr w:rsidR="00537A88" w14:paraId="54B8D88D" w14:textId="77777777" w:rsidTr="002F0379">
        <w:trPr>
          <w:trHeight w:val="450"/>
        </w:trPr>
        <w:tc>
          <w:tcPr>
            <w:tcW w:w="1592" w:type="dxa"/>
            <w:vMerge/>
            <w:tcBorders>
              <w:top w:val="single" w:sz="4" w:space="0" w:color="auto"/>
              <w:left w:val="single" w:sz="4" w:space="0" w:color="auto"/>
              <w:bottom w:val="single" w:sz="4" w:space="0" w:color="auto"/>
              <w:right w:val="single" w:sz="4" w:space="0" w:color="auto"/>
            </w:tcBorders>
          </w:tcPr>
          <w:p w14:paraId="63692B8E" w14:textId="77777777" w:rsidR="00537A88" w:rsidRDefault="00537A88">
            <w:pPr>
              <w:widowControl w:val="0"/>
              <w:pBdr>
                <w:top w:val="nil"/>
                <w:left w:val="nil"/>
                <w:bottom w:val="nil"/>
                <w:right w:val="nil"/>
                <w:between w:val="nil"/>
              </w:pBdr>
              <w:spacing w:after="0" w:line="276" w:lineRule="auto"/>
              <w:rPr>
                <w:sz w:val="18"/>
                <w:szCs w:val="18"/>
              </w:rPr>
            </w:pPr>
          </w:p>
        </w:tc>
      </w:tr>
      <w:tr w:rsidR="00537A88" w14:paraId="73042780"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52587DA0" w14:textId="77777777" w:rsidR="00537A88" w:rsidRDefault="00537A88">
            <w:pPr>
              <w:spacing w:after="0" w:line="180" w:lineRule="auto"/>
              <w:rPr>
                <w:sz w:val="19"/>
                <w:szCs w:val="19"/>
              </w:rPr>
            </w:pPr>
          </w:p>
          <w:p w14:paraId="27D84C40" w14:textId="77777777" w:rsidR="00537A88" w:rsidRDefault="00D24A94">
            <w:pPr>
              <w:spacing w:after="0"/>
              <w:ind w:left="500" w:right="395"/>
              <w:rPr>
                <w:sz w:val="18"/>
                <w:szCs w:val="18"/>
              </w:rPr>
            </w:pPr>
            <w:r>
              <w:rPr>
                <w:b/>
                <w:sz w:val="18"/>
                <w:szCs w:val="18"/>
              </w:rPr>
              <w:t>Revised</w:t>
            </w:r>
          </w:p>
          <w:p w14:paraId="2FF20705" w14:textId="77777777" w:rsidR="00537A88" w:rsidRDefault="00D24A94">
            <w:pPr>
              <w:spacing w:after="0" w:line="200" w:lineRule="auto"/>
              <w:ind w:right="20"/>
              <w:jc w:val="center"/>
              <w:rPr>
                <w:sz w:val="18"/>
                <w:szCs w:val="18"/>
              </w:rPr>
            </w:pPr>
            <w:r>
              <w:rPr>
                <w:sz w:val="18"/>
                <w:szCs w:val="18"/>
              </w:rPr>
              <w:t>dd-mm-yyyy</w:t>
            </w:r>
          </w:p>
        </w:tc>
      </w:tr>
      <w:tr w:rsidR="00537A88" w14:paraId="32F114A0" w14:textId="77777777" w:rsidTr="002F0379">
        <w:trPr>
          <w:trHeight w:val="451"/>
        </w:trPr>
        <w:tc>
          <w:tcPr>
            <w:tcW w:w="1592" w:type="dxa"/>
            <w:vMerge/>
            <w:tcBorders>
              <w:top w:val="single" w:sz="4" w:space="0" w:color="auto"/>
              <w:left w:val="single" w:sz="4" w:space="0" w:color="auto"/>
              <w:bottom w:val="single" w:sz="4" w:space="0" w:color="auto"/>
              <w:right w:val="single" w:sz="4" w:space="0" w:color="auto"/>
            </w:tcBorders>
          </w:tcPr>
          <w:p w14:paraId="016C4DCB" w14:textId="77777777" w:rsidR="00537A88" w:rsidRDefault="00537A88">
            <w:pPr>
              <w:widowControl w:val="0"/>
              <w:pBdr>
                <w:top w:val="nil"/>
                <w:left w:val="nil"/>
                <w:bottom w:val="nil"/>
                <w:right w:val="nil"/>
                <w:between w:val="nil"/>
              </w:pBdr>
              <w:spacing w:after="0" w:line="276" w:lineRule="auto"/>
              <w:rPr>
                <w:sz w:val="18"/>
                <w:szCs w:val="18"/>
              </w:rPr>
            </w:pPr>
          </w:p>
        </w:tc>
      </w:tr>
      <w:tr w:rsidR="00537A88" w14:paraId="149990AD" w14:textId="77777777" w:rsidTr="002F0379">
        <w:trPr>
          <w:trHeight w:val="452"/>
        </w:trPr>
        <w:tc>
          <w:tcPr>
            <w:tcW w:w="1592" w:type="dxa"/>
            <w:vMerge w:val="restart"/>
            <w:tcBorders>
              <w:top w:val="single" w:sz="4" w:space="0" w:color="auto"/>
              <w:left w:val="single" w:sz="4" w:space="0" w:color="auto"/>
              <w:bottom w:val="single" w:sz="4" w:space="0" w:color="auto"/>
              <w:right w:val="single" w:sz="4" w:space="0" w:color="auto"/>
            </w:tcBorders>
          </w:tcPr>
          <w:p w14:paraId="65B11A96" w14:textId="77777777" w:rsidR="00537A88" w:rsidRDefault="00537A88">
            <w:pPr>
              <w:spacing w:after="0" w:line="180" w:lineRule="auto"/>
              <w:rPr>
                <w:sz w:val="19"/>
                <w:szCs w:val="19"/>
              </w:rPr>
            </w:pPr>
          </w:p>
          <w:p w14:paraId="5655D760" w14:textId="77777777" w:rsidR="00537A88" w:rsidRDefault="00D24A94">
            <w:pPr>
              <w:spacing w:after="0"/>
              <w:ind w:left="442" w:right="338"/>
              <w:rPr>
                <w:sz w:val="18"/>
                <w:szCs w:val="18"/>
              </w:rPr>
            </w:pPr>
            <w:r>
              <w:rPr>
                <w:b/>
                <w:sz w:val="18"/>
                <w:szCs w:val="18"/>
              </w:rPr>
              <w:t>Accepted</w:t>
            </w:r>
          </w:p>
          <w:p w14:paraId="36346F2B" w14:textId="77777777" w:rsidR="00537A88" w:rsidRDefault="00D24A94">
            <w:pPr>
              <w:spacing w:after="0" w:line="200" w:lineRule="auto"/>
              <w:ind w:right="20"/>
              <w:jc w:val="center"/>
              <w:rPr>
                <w:sz w:val="18"/>
                <w:szCs w:val="18"/>
              </w:rPr>
            </w:pPr>
            <w:r>
              <w:rPr>
                <w:sz w:val="18"/>
                <w:szCs w:val="18"/>
              </w:rPr>
              <w:t>dd-mm-yyyy</w:t>
            </w:r>
          </w:p>
        </w:tc>
      </w:tr>
      <w:tr w:rsidR="00537A88" w14:paraId="31DCF9A4" w14:textId="77777777" w:rsidTr="002F0379">
        <w:trPr>
          <w:trHeight w:val="450"/>
        </w:trPr>
        <w:tc>
          <w:tcPr>
            <w:tcW w:w="1592" w:type="dxa"/>
            <w:vMerge/>
            <w:tcBorders>
              <w:top w:val="single" w:sz="4" w:space="0" w:color="auto"/>
              <w:left w:val="single" w:sz="4" w:space="0" w:color="auto"/>
              <w:bottom w:val="single" w:sz="4" w:space="0" w:color="auto"/>
              <w:right w:val="single" w:sz="4" w:space="0" w:color="auto"/>
            </w:tcBorders>
          </w:tcPr>
          <w:p w14:paraId="624FFE55" w14:textId="77777777" w:rsidR="00537A88" w:rsidRDefault="00537A88">
            <w:pPr>
              <w:widowControl w:val="0"/>
              <w:pBdr>
                <w:top w:val="nil"/>
                <w:left w:val="nil"/>
                <w:bottom w:val="nil"/>
                <w:right w:val="nil"/>
                <w:between w:val="nil"/>
              </w:pBdr>
              <w:spacing w:after="0" w:line="276" w:lineRule="auto"/>
              <w:rPr>
                <w:sz w:val="18"/>
                <w:szCs w:val="18"/>
              </w:rPr>
            </w:pPr>
          </w:p>
        </w:tc>
      </w:tr>
    </w:tbl>
    <w:p w14:paraId="0561DE9A" w14:textId="77777777" w:rsidR="00537A88" w:rsidRDefault="00537A88">
      <w:pPr>
        <w:spacing w:after="0" w:line="240" w:lineRule="auto"/>
        <w:ind w:left="1134"/>
        <w:jc w:val="both"/>
        <w:rPr>
          <w:rFonts w:ascii="Cambria" w:eastAsia="Cambria" w:hAnsi="Cambria" w:cs="Cambria"/>
          <w:i/>
        </w:rPr>
      </w:pPr>
    </w:p>
    <w:p w14:paraId="16A55B24" w14:textId="401A1623" w:rsidR="00537A88" w:rsidRDefault="00D24A94">
      <w:pPr>
        <w:spacing w:after="0" w:line="240" w:lineRule="auto"/>
        <w:ind w:left="1134"/>
        <w:jc w:val="both"/>
        <w:rPr>
          <w:rFonts w:ascii="Cambria" w:eastAsia="Cambria" w:hAnsi="Cambria" w:cs="Cambria"/>
          <w:i/>
        </w:rPr>
      </w:pPr>
      <w:r>
        <w:rPr>
          <w:rFonts w:ascii="Cambria" w:eastAsia="Cambria" w:hAnsi="Cambria" w:cs="Cambria"/>
          <w:b/>
          <w:i/>
        </w:rPr>
        <w:t>Abstract:</w:t>
      </w:r>
      <w:r>
        <w:rPr>
          <w:rFonts w:ascii="Cambria" w:eastAsia="Cambria" w:hAnsi="Cambria" w:cs="Cambria"/>
          <w:i/>
        </w:rPr>
        <w:t xml:space="preserve"> </w:t>
      </w:r>
      <w:r w:rsidR="007B4381" w:rsidRPr="007B4381">
        <w:rPr>
          <w:rFonts w:ascii="Cambria" w:eastAsia="Cambria" w:hAnsi="Cambria" w:cs="Cambria"/>
          <w:i/>
        </w:rPr>
        <w:t xml:space="preserve">This study examines the development and internal consistency of Ellen G. White’s soteriology by comparing her two major works, </w:t>
      </w:r>
      <w:r w:rsidR="007B4381" w:rsidRPr="007B4381">
        <w:rPr>
          <w:rFonts w:ascii="Cambria" w:eastAsia="Cambria" w:hAnsi="Cambria" w:cs="Cambria"/>
          <w:i/>
          <w:iCs/>
        </w:rPr>
        <w:t>Bible Sanctification</w:t>
      </w:r>
      <w:r w:rsidR="007B4381" w:rsidRPr="007B4381">
        <w:rPr>
          <w:rFonts w:ascii="Cambria" w:eastAsia="Cambria" w:hAnsi="Cambria" w:cs="Cambria"/>
          <w:i/>
        </w:rPr>
        <w:t xml:space="preserve"> (1882) and </w:t>
      </w:r>
      <w:r w:rsidR="007B4381" w:rsidRPr="007B4381">
        <w:rPr>
          <w:rFonts w:ascii="Cambria" w:eastAsia="Cambria" w:hAnsi="Cambria" w:cs="Cambria"/>
          <w:i/>
          <w:iCs/>
        </w:rPr>
        <w:t>Steps to Christ</w:t>
      </w:r>
      <w:r w:rsidR="007B4381" w:rsidRPr="007B4381">
        <w:rPr>
          <w:rFonts w:ascii="Cambria" w:eastAsia="Cambria" w:hAnsi="Cambria" w:cs="Cambria"/>
          <w:i/>
        </w:rPr>
        <w:t xml:space="preserve"> (1892), within the historical context of the 1888 Minneapolis General Conference. The study employs a qualitative method using a theological-historical and comparative approach to analyze both texts. The findings indicate that White’s core soteriological framework remains consistent, presenting salvation as God’s grace received through faith and manifested in sanctification and character transformation. The differences between the two works lie primarily in their emphasis: </w:t>
      </w:r>
      <w:r w:rsidR="007B4381" w:rsidRPr="007B4381">
        <w:rPr>
          <w:rFonts w:ascii="Cambria" w:eastAsia="Cambria" w:hAnsi="Cambria" w:cs="Cambria"/>
          <w:i/>
          <w:iCs/>
        </w:rPr>
        <w:t>Bible Sanctification</w:t>
      </w:r>
      <w:r w:rsidR="007B4381" w:rsidRPr="007B4381">
        <w:rPr>
          <w:rFonts w:ascii="Cambria" w:eastAsia="Cambria" w:hAnsi="Cambria" w:cs="Cambria"/>
          <w:i/>
        </w:rPr>
        <w:t xml:space="preserve"> focuses on doctrinal clarification against legalism and antinomianism, whereas </w:t>
      </w:r>
      <w:r w:rsidR="007B4381" w:rsidRPr="007B4381">
        <w:rPr>
          <w:rFonts w:ascii="Cambria" w:eastAsia="Cambria" w:hAnsi="Cambria" w:cs="Cambria"/>
          <w:i/>
          <w:iCs/>
        </w:rPr>
        <w:t>Steps to Christ</w:t>
      </w:r>
      <w:r w:rsidR="007B4381" w:rsidRPr="007B4381">
        <w:rPr>
          <w:rFonts w:ascii="Cambria" w:eastAsia="Cambria" w:hAnsi="Cambria" w:cs="Cambria"/>
          <w:i/>
        </w:rPr>
        <w:t xml:space="preserve"> adopts a more pastoral and relational approach. The study concludes that these differences reflect adjustments to audience and purpose rather than doctrinal change, reinforcing a balanced Adventist understanding of grace, faith, and obedience.</w:t>
      </w:r>
    </w:p>
    <w:p w14:paraId="60A63976" w14:textId="77777777" w:rsidR="00537A88" w:rsidRDefault="00537A88">
      <w:pPr>
        <w:spacing w:after="0" w:line="240" w:lineRule="auto"/>
        <w:ind w:left="1134"/>
        <w:jc w:val="both"/>
        <w:rPr>
          <w:rFonts w:ascii="Cambria" w:eastAsia="Cambria" w:hAnsi="Cambria" w:cs="Cambria"/>
          <w:i/>
        </w:rPr>
      </w:pPr>
    </w:p>
    <w:p w14:paraId="63F74559" w14:textId="3BE1CBEF" w:rsidR="00537A88" w:rsidRDefault="00D24A94">
      <w:pPr>
        <w:spacing w:after="0" w:line="240" w:lineRule="auto"/>
        <w:ind w:left="1134"/>
        <w:jc w:val="both"/>
        <w:rPr>
          <w:rFonts w:ascii="Cambria" w:eastAsia="Cambria" w:hAnsi="Cambria" w:cs="Cambria"/>
          <w:i/>
        </w:rPr>
      </w:pPr>
      <w:r>
        <w:rPr>
          <w:rFonts w:ascii="Cambria" w:eastAsia="Cambria" w:hAnsi="Cambria" w:cs="Cambria"/>
          <w:i/>
        </w:rPr>
        <w:t xml:space="preserve">Keywords: </w:t>
      </w:r>
      <w:r w:rsidR="008D548F" w:rsidRPr="008D548F">
        <w:rPr>
          <w:rFonts w:ascii="Cambria" w:eastAsia="Cambria" w:hAnsi="Cambria" w:cs="Cambria"/>
          <w:i/>
        </w:rPr>
        <w:t>Soteriology</w:t>
      </w:r>
      <w:r w:rsidR="008D548F">
        <w:rPr>
          <w:rFonts w:ascii="Cambria" w:eastAsia="Cambria" w:hAnsi="Cambria" w:cs="Cambria"/>
          <w:i/>
        </w:rPr>
        <w:t>,</w:t>
      </w:r>
      <w:r w:rsidR="008D548F" w:rsidRPr="008D548F">
        <w:rPr>
          <w:rFonts w:ascii="Cambria" w:eastAsia="Cambria" w:hAnsi="Cambria" w:cs="Cambria"/>
          <w:i/>
        </w:rPr>
        <w:t xml:space="preserve"> Ellen G. White</w:t>
      </w:r>
      <w:r w:rsidR="008D548F">
        <w:rPr>
          <w:rFonts w:ascii="Cambria" w:eastAsia="Cambria" w:hAnsi="Cambria" w:cs="Cambria"/>
          <w:i/>
        </w:rPr>
        <w:t>,</w:t>
      </w:r>
      <w:r w:rsidR="008D548F" w:rsidRPr="008D548F">
        <w:rPr>
          <w:rFonts w:ascii="Cambria" w:eastAsia="Cambria" w:hAnsi="Cambria" w:cs="Cambria"/>
          <w:i/>
        </w:rPr>
        <w:t xml:space="preserve"> Justification</w:t>
      </w:r>
      <w:r w:rsidR="008D548F">
        <w:rPr>
          <w:rFonts w:ascii="Cambria" w:eastAsia="Cambria" w:hAnsi="Cambria" w:cs="Cambria"/>
          <w:i/>
        </w:rPr>
        <w:t>,</w:t>
      </w:r>
      <w:r w:rsidR="008D548F" w:rsidRPr="008D548F">
        <w:rPr>
          <w:rFonts w:ascii="Cambria" w:eastAsia="Cambria" w:hAnsi="Cambria" w:cs="Cambria"/>
          <w:i/>
        </w:rPr>
        <w:t xml:space="preserve"> Sanctification</w:t>
      </w:r>
      <w:r w:rsidR="008D548F">
        <w:rPr>
          <w:rFonts w:ascii="Cambria" w:eastAsia="Cambria" w:hAnsi="Cambria" w:cs="Cambria"/>
          <w:i/>
        </w:rPr>
        <w:t>,</w:t>
      </w:r>
      <w:r w:rsidR="008D548F" w:rsidRPr="008D548F">
        <w:rPr>
          <w:rFonts w:ascii="Cambria" w:eastAsia="Cambria" w:hAnsi="Cambria" w:cs="Cambria"/>
          <w:i/>
        </w:rPr>
        <w:t xml:space="preserve"> Adventist Theology.</w:t>
      </w:r>
    </w:p>
    <w:p w14:paraId="202C4D3D" w14:textId="77777777" w:rsidR="00537A88" w:rsidRDefault="00537A88">
      <w:pPr>
        <w:spacing w:after="0" w:line="240" w:lineRule="auto"/>
        <w:ind w:left="1134"/>
        <w:jc w:val="both"/>
        <w:rPr>
          <w:rFonts w:ascii="Cambria" w:eastAsia="Cambria" w:hAnsi="Cambria" w:cs="Cambria"/>
          <w:i/>
        </w:rPr>
      </w:pPr>
    </w:p>
    <w:p w14:paraId="15C5C411" w14:textId="77777777" w:rsidR="007B4381" w:rsidRPr="007B4381" w:rsidRDefault="00D24A94" w:rsidP="007B4381">
      <w:pPr>
        <w:spacing w:after="0"/>
        <w:ind w:left="1134"/>
        <w:jc w:val="both"/>
        <w:rPr>
          <w:rFonts w:ascii="Cambria" w:eastAsia="Cambria" w:hAnsi="Cambria" w:cs="Cambria"/>
        </w:rPr>
      </w:pPr>
      <w:r w:rsidRPr="002F0379">
        <w:rPr>
          <w:rFonts w:ascii="Cambria" w:eastAsia="Cambria" w:hAnsi="Cambria" w:cs="Cambria"/>
          <w:b/>
          <w:lang w:val="sv-SE"/>
        </w:rPr>
        <w:t>Abstrak:</w:t>
      </w:r>
      <w:r w:rsidRPr="002F0379">
        <w:rPr>
          <w:rFonts w:ascii="Cambria" w:eastAsia="Cambria" w:hAnsi="Cambria" w:cs="Cambria"/>
          <w:lang w:val="sv-SE"/>
        </w:rPr>
        <w:t xml:space="preserve"> </w:t>
      </w:r>
      <w:r w:rsidR="007B4381" w:rsidRPr="007B4381">
        <w:rPr>
          <w:rFonts w:ascii="Cambria" w:eastAsia="Cambria" w:hAnsi="Cambria" w:cs="Cambria"/>
        </w:rPr>
        <w:t xml:space="preserve">Penelitian ini bertujuan menganalisis perkembangan dan konsistensi soteriologi Ellen G. White melalui perbandingan dua karya utamanya, </w:t>
      </w:r>
      <w:r w:rsidR="007B4381" w:rsidRPr="007B4381">
        <w:rPr>
          <w:rFonts w:ascii="Cambria" w:eastAsia="Cambria" w:hAnsi="Cambria" w:cs="Cambria"/>
          <w:i/>
          <w:iCs/>
        </w:rPr>
        <w:t>Pengudusan Alkitab</w:t>
      </w:r>
      <w:r w:rsidR="007B4381" w:rsidRPr="007B4381">
        <w:rPr>
          <w:rFonts w:ascii="Cambria" w:eastAsia="Cambria" w:hAnsi="Cambria" w:cs="Cambria"/>
        </w:rPr>
        <w:t xml:space="preserve"> (1882) dan </w:t>
      </w:r>
      <w:r w:rsidR="007B4381" w:rsidRPr="007B4381">
        <w:rPr>
          <w:rFonts w:ascii="Cambria" w:eastAsia="Cambria" w:hAnsi="Cambria" w:cs="Cambria"/>
          <w:i/>
          <w:iCs/>
        </w:rPr>
        <w:t>Langkah-Langkah Menuju Kristus</w:t>
      </w:r>
      <w:r w:rsidR="007B4381" w:rsidRPr="007B4381">
        <w:rPr>
          <w:rFonts w:ascii="Cambria" w:eastAsia="Cambria" w:hAnsi="Cambria" w:cs="Cambria"/>
        </w:rPr>
        <w:t xml:space="preserve"> (1892), dalam konteks Konferensi Umum Minneapolis 1888. Penelitian menggunakan metode kualitatif dengan pendekatan teologis-historis dan analisis komparatif terhadap kedua teks. Hasil penelitian menunjukkan bahwa kerangka soteriologi Ellen G. White tetap konsisten, yaitu keselamatan dipahami sebagai anugerah Allah yang diterima melalui iman dan diwujudkan dalam pengudusan serta transformasi karakter. Perbedaan kedua karya terletak pada penekanannya, yaitu </w:t>
      </w:r>
      <w:r w:rsidR="007B4381" w:rsidRPr="007B4381">
        <w:rPr>
          <w:rFonts w:ascii="Cambria" w:eastAsia="Cambria" w:hAnsi="Cambria" w:cs="Cambria"/>
          <w:i/>
          <w:iCs/>
        </w:rPr>
        <w:t>Pengudusan Alkitab</w:t>
      </w:r>
      <w:r w:rsidR="007B4381" w:rsidRPr="007B4381">
        <w:rPr>
          <w:rFonts w:ascii="Cambria" w:eastAsia="Cambria" w:hAnsi="Cambria" w:cs="Cambria"/>
        </w:rPr>
        <w:t xml:space="preserve"> berfokus pada klarifikasi doktrinal terhadap legalisme dan antinomianisme, sedangkan </w:t>
      </w:r>
      <w:r w:rsidR="007B4381" w:rsidRPr="007B4381">
        <w:rPr>
          <w:rFonts w:ascii="Cambria" w:eastAsia="Cambria" w:hAnsi="Cambria" w:cs="Cambria"/>
          <w:i/>
          <w:iCs/>
        </w:rPr>
        <w:t>Langkah-Langkah Menuju Kristus</w:t>
      </w:r>
      <w:r w:rsidR="007B4381" w:rsidRPr="007B4381">
        <w:rPr>
          <w:rFonts w:ascii="Cambria" w:eastAsia="Cambria" w:hAnsi="Cambria" w:cs="Cambria"/>
        </w:rPr>
        <w:t xml:space="preserve"> menonjolkan pendekatan pastoral dan relasional. Disimpulkan bahwa perbedaan tersebut merupakan penyesuaian terhadap kebutuhan audiens dan tujuan penulisan, bukan perubahan doktrinal, sehingga memperkuat pemahaman teologi Advent yang seimbang mengenai kasih karunia, iman, dan ketaatan.</w:t>
      </w:r>
    </w:p>
    <w:p w14:paraId="1ACDCCD2" w14:textId="77777777" w:rsidR="00537A88" w:rsidRPr="002F0379" w:rsidRDefault="00537A88">
      <w:pPr>
        <w:spacing w:after="0" w:line="240" w:lineRule="auto"/>
        <w:ind w:left="1134"/>
        <w:jc w:val="both"/>
        <w:rPr>
          <w:rFonts w:ascii="Cambria" w:eastAsia="Cambria" w:hAnsi="Cambria" w:cs="Cambria"/>
          <w:lang w:val="sv-SE"/>
        </w:rPr>
      </w:pPr>
    </w:p>
    <w:p w14:paraId="6437521A" w14:textId="2DBD5D29" w:rsidR="00537A88" w:rsidRPr="002F0379" w:rsidRDefault="00D24A94">
      <w:pPr>
        <w:spacing w:after="0" w:line="240" w:lineRule="auto"/>
        <w:ind w:left="1134"/>
        <w:jc w:val="both"/>
        <w:rPr>
          <w:rFonts w:ascii="Cambria" w:eastAsia="Cambria" w:hAnsi="Cambria" w:cs="Cambria"/>
          <w:lang w:val="sv-SE"/>
        </w:rPr>
      </w:pPr>
      <w:r w:rsidRPr="002F0379">
        <w:rPr>
          <w:rFonts w:ascii="Cambria" w:eastAsia="Cambria" w:hAnsi="Cambria" w:cs="Cambria"/>
          <w:lang w:val="sv-SE"/>
        </w:rPr>
        <w:t xml:space="preserve">Kata Kunci: </w:t>
      </w:r>
      <w:r w:rsidR="008D548F" w:rsidRPr="008D548F">
        <w:rPr>
          <w:rFonts w:ascii="Cambria" w:eastAsia="Cambria" w:hAnsi="Cambria" w:cs="Cambria"/>
        </w:rPr>
        <w:t>Soteriologi</w:t>
      </w:r>
      <w:r w:rsidR="008D548F">
        <w:rPr>
          <w:rFonts w:ascii="Cambria" w:eastAsia="Cambria" w:hAnsi="Cambria" w:cs="Cambria"/>
        </w:rPr>
        <w:t>,</w:t>
      </w:r>
      <w:r w:rsidR="008D548F" w:rsidRPr="008D548F">
        <w:rPr>
          <w:rFonts w:ascii="Cambria" w:eastAsia="Cambria" w:hAnsi="Cambria" w:cs="Cambria"/>
        </w:rPr>
        <w:t xml:space="preserve"> Ellen G. White</w:t>
      </w:r>
      <w:r w:rsidR="008D548F">
        <w:rPr>
          <w:rFonts w:ascii="Cambria" w:eastAsia="Cambria" w:hAnsi="Cambria" w:cs="Cambria"/>
        </w:rPr>
        <w:t>,</w:t>
      </w:r>
      <w:r w:rsidR="008D548F" w:rsidRPr="008D548F">
        <w:rPr>
          <w:rFonts w:ascii="Cambria" w:eastAsia="Cambria" w:hAnsi="Cambria" w:cs="Cambria"/>
        </w:rPr>
        <w:t xml:space="preserve"> Pembenaran</w:t>
      </w:r>
      <w:r w:rsidR="008D548F">
        <w:rPr>
          <w:rFonts w:ascii="Cambria" w:eastAsia="Cambria" w:hAnsi="Cambria" w:cs="Cambria"/>
        </w:rPr>
        <w:t>,</w:t>
      </w:r>
      <w:r w:rsidR="008D548F" w:rsidRPr="008D548F">
        <w:rPr>
          <w:rFonts w:ascii="Cambria" w:eastAsia="Cambria" w:hAnsi="Cambria" w:cs="Cambria"/>
        </w:rPr>
        <w:t xml:space="preserve"> Pengudusan</w:t>
      </w:r>
      <w:r w:rsidR="008D548F">
        <w:rPr>
          <w:rFonts w:ascii="Cambria" w:eastAsia="Cambria" w:hAnsi="Cambria" w:cs="Cambria"/>
        </w:rPr>
        <w:t>,</w:t>
      </w:r>
      <w:r w:rsidR="008D548F" w:rsidRPr="008D548F">
        <w:rPr>
          <w:rFonts w:ascii="Cambria" w:eastAsia="Cambria" w:hAnsi="Cambria" w:cs="Cambria"/>
        </w:rPr>
        <w:t xml:space="preserve"> Teologi Advent</w:t>
      </w:r>
    </w:p>
    <w:p w14:paraId="3955AA07" w14:textId="114379A2" w:rsidR="00537A88" w:rsidRDefault="00537A88">
      <w:pPr>
        <w:pBdr>
          <w:top w:val="nil"/>
          <w:left w:val="nil"/>
          <w:bottom w:val="nil"/>
          <w:right w:val="nil"/>
          <w:between w:val="nil"/>
        </w:pBdr>
        <w:spacing w:after="0" w:line="300" w:lineRule="auto"/>
        <w:jc w:val="both"/>
        <w:rPr>
          <w:rFonts w:ascii="Cambria" w:eastAsia="Cambria" w:hAnsi="Cambria" w:cs="Cambria"/>
          <w:color w:val="000000"/>
          <w:sz w:val="24"/>
          <w:szCs w:val="24"/>
          <w:lang w:val="sv-SE"/>
        </w:rPr>
      </w:pPr>
    </w:p>
    <w:p w14:paraId="649DF8B1" w14:textId="1B5A8B06" w:rsidR="008D548F" w:rsidRDefault="008D548F">
      <w:pPr>
        <w:pBdr>
          <w:top w:val="nil"/>
          <w:left w:val="nil"/>
          <w:bottom w:val="nil"/>
          <w:right w:val="nil"/>
          <w:between w:val="nil"/>
        </w:pBdr>
        <w:spacing w:after="0" w:line="300" w:lineRule="auto"/>
        <w:jc w:val="both"/>
        <w:rPr>
          <w:rFonts w:ascii="Cambria" w:eastAsia="Cambria" w:hAnsi="Cambria" w:cs="Cambria"/>
          <w:color w:val="000000"/>
          <w:sz w:val="24"/>
          <w:szCs w:val="24"/>
          <w:lang w:val="sv-SE"/>
        </w:rPr>
      </w:pPr>
    </w:p>
    <w:p w14:paraId="7B942E28" w14:textId="77777777" w:rsidR="008D548F" w:rsidRPr="002F0379" w:rsidRDefault="008D548F">
      <w:pPr>
        <w:pBdr>
          <w:top w:val="nil"/>
          <w:left w:val="nil"/>
          <w:bottom w:val="nil"/>
          <w:right w:val="nil"/>
          <w:between w:val="nil"/>
        </w:pBdr>
        <w:spacing w:after="0" w:line="300" w:lineRule="auto"/>
        <w:jc w:val="both"/>
        <w:rPr>
          <w:rFonts w:ascii="Cambria" w:eastAsia="Cambria" w:hAnsi="Cambria" w:cs="Cambria"/>
          <w:color w:val="000000"/>
          <w:sz w:val="24"/>
          <w:szCs w:val="24"/>
          <w:lang w:val="sv-SE"/>
        </w:rPr>
      </w:pPr>
    </w:p>
    <w:p w14:paraId="2668AEAE" w14:textId="77777777" w:rsidR="00537A88" w:rsidRDefault="00D24A94">
      <w:pPr>
        <w:numPr>
          <w:ilvl w:val="0"/>
          <w:numId w:val="1"/>
        </w:numPr>
        <w:pBdr>
          <w:top w:val="nil"/>
          <w:left w:val="nil"/>
          <w:bottom w:val="nil"/>
          <w:right w:val="nil"/>
          <w:between w:val="nil"/>
        </w:pBdr>
        <w:spacing w:after="0" w:line="300" w:lineRule="auto"/>
        <w:ind w:left="426" w:hanging="426"/>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 (Cambria, 12)</w:t>
      </w:r>
    </w:p>
    <w:p w14:paraId="6DE0B60C"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 xml:space="preserve">Soteriologi, atau doktrin keselamatan Kristen, menempati posisi sentral dalam teologi Gereja Masehi Advent Hari Ketujuh karena membentuk identitas spiritual gereja dan kerangka teologisnya yang lebih luas. Dalam Adventisme, keselamatan dipahami dalam kaitannya dengan tema-tema seperti hukum Allah, hari Sabat, tempat kudus surgawi, dan pemberitaan pesan tiga malaikat. Akibatnya, soteriologi Adventis tidak diperlakukan sebagai </w:t>
      </w:r>
      <w:r w:rsidRPr="008D548F">
        <w:rPr>
          <w:rFonts w:asciiTheme="majorHAnsi" w:eastAsia="Cambria" w:hAnsiTheme="majorHAnsi" w:cs="Cambria"/>
          <w:sz w:val="24"/>
          <w:szCs w:val="24"/>
        </w:rPr>
        <w:t>doktrin</w:t>
      </w:r>
      <w:r w:rsidRPr="008D548F">
        <w:rPr>
          <w:rFonts w:asciiTheme="majorHAnsi" w:hAnsiTheme="majorHAnsi"/>
          <w:sz w:val="24"/>
          <w:szCs w:val="24"/>
        </w:rPr>
        <w:t xml:space="preserve"> yang terisolasi tetapi sebagai sistem teologis terintegrasi yang menghubungkan </w:t>
      </w:r>
      <w:r w:rsidRPr="008D548F">
        <w:rPr>
          <w:rFonts w:asciiTheme="majorHAnsi" w:eastAsia="Cambria" w:hAnsiTheme="majorHAnsi" w:cs="Cambria"/>
          <w:sz w:val="24"/>
          <w:szCs w:val="24"/>
        </w:rPr>
        <w:t>penebusan</w:t>
      </w:r>
      <w:r w:rsidRPr="008D548F">
        <w:rPr>
          <w:rFonts w:asciiTheme="majorHAnsi" w:hAnsiTheme="majorHAnsi"/>
          <w:sz w:val="24"/>
          <w:szCs w:val="24"/>
        </w:rPr>
        <w:t xml:space="preserve"> dengan kehidupan Kristen dan harapan eskatologis.</w:t>
      </w:r>
      <w:r w:rsidRPr="008D548F">
        <w:rPr>
          <w:rStyle w:val="FootnoteReference"/>
          <w:rFonts w:asciiTheme="majorHAnsi" w:hAnsiTheme="majorHAnsi"/>
          <w:sz w:val="24"/>
          <w:szCs w:val="24"/>
        </w:rPr>
        <w:footnoteReference w:id="1"/>
      </w:r>
    </w:p>
    <w:p w14:paraId="60B4D761"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 xml:space="preserve">Tulisan-tulisan Ellen G. White berfungsi sebagai panduan teologis penting dalam kerangka ini. Dalam karyanya, keselamatan disajikan bukan hanya sebagai pengampunan dosa tetapi sebagai </w:t>
      </w:r>
      <w:r w:rsidRPr="008D548F">
        <w:rPr>
          <w:rFonts w:asciiTheme="majorHAnsi" w:eastAsia="Cambria" w:hAnsiTheme="majorHAnsi" w:cs="Cambria"/>
          <w:sz w:val="24"/>
          <w:szCs w:val="24"/>
        </w:rPr>
        <w:t>proses</w:t>
      </w:r>
      <w:r w:rsidRPr="008D548F">
        <w:rPr>
          <w:rFonts w:asciiTheme="majorHAnsi" w:hAnsiTheme="majorHAnsi"/>
          <w:sz w:val="24"/>
          <w:szCs w:val="24"/>
        </w:rPr>
        <w:t xml:space="preserve"> pemulihan yang </w:t>
      </w:r>
      <w:r w:rsidRPr="008D548F">
        <w:rPr>
          <w:rFonts w:asciiTheme="majorHAnsi" w:eastAsia="Cambria" w:hAnsiTheme="majorHAnsi" w:cs="Cambria"/>
          <w:sz w:val="24"/>
          <w:szCs w:val="24"/>
        </w:rPr>
        <w:t>memperbarui</w:t>
      </w:r>
      <w:r w:rsidRPr="008D548F">
        <w:rPr>
          <w:rFonts w:asciiTheme="majorHAnsi" w:hAnsiTheme="majorHAnsi"/>
          <w:sz w:val="24"/>
          <w:szCs w:val="24"/>
        </w:rPr>
        <w:t xml:space="preserve"> "citra Allah" dalam diri manusia. White secara konsisten menghubungkan pembenaran dengan pengudusan dan menekankan bahwa transformasi spiritual terjadi melalui hubungan aktif dengan Kristus dan karya Roh Kudus. Meskipun ia mempertahankan bahwa Kitab Suci tetap menjadi otoritas tertinggi, tulisan-tulisannya memberikan arahan teologis dan pastoral bagi Gereja Advent.</w:t>
      </w:r>
      <w:r w:rsidRPr="008D548F">
        <w:rPr>
          <w:rStyle w:val="FootnoteReference"/>
          <w:rFonts w:asciiTheme="majorHAnsi" w:hAnsiTheme="majorHAnsi"/>
          <w:sz w:val="24"/>
          <w:szCs w:val="24"/>
        </w:rPr>
        <w:footnoteReference w:id="2"/>
      </w:r>
    </w:p>
    <w:p w14:paraId="14B7892B"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 xml:space="preserve">Dalam Pengudusan Alkitab (1882), White secara langsung menolak gagasan bahwa pengudusan dicapai melalui emosionalisme atau penampilan keagamaan lahiriah. Sebaliknya, ia berpendapat bahwa pengudusan sejati dihasilkan dari ketaatan terus-menerus yang berlandaskan iman kepada Kristus. </w:t>
      </w:r>
      <w:r w:rsidRPr="008D548F">
        <w:rPr>
          <w:rStyle w:val="FootnoteReference"/>
          <w:rFonts w:asciiTheme="majorHAnsi" w:hAnsiTheme="majorHAnsi"/>
          <w:sz w:val="24"/>
          <w:szCs w:val="24"/>
        </w:rPr>
        <w:footnoteReference w:id="3"/>
      </w:r>
      <w:r w:rsidRPr="008D548F">
        <w:rPr>
          <w:rFonts w:asciiTheme="majorHAnsi" w:hAnsiTheme="majorHAnsi"/>
          <w:sz w:val="24"/>
          <w:szCs w:val="24"/>
        </w:rPr>
        <w:t xml:space="preserve">Penekanannya sangat terlihat ketika ia menggambarkan pengudusan sebagai “bukan pekerjaan sesaat, satu jam, atau satu hari, tetapi seumur hidup.” Ungkapan ini menyoroti pemahamannya tentang keselamatan sebagai pengalaman </w:t>
      </w:r>
      <w:r w:rsidRPr="008D548F">
        <w:rPr>
          <w:rFonts w:asciiTheme="majorHAnsi" w:eastAsia="Cambria" w:hAnsiTheme="majorHAnsi" w:cs="Cambria"/>
          <w:sz w:val="24"/>
          <w:szCs w:val="24"/>
        </w:rPr>
        <w:t>spiritual</w:t>
      </w:r>
      <w:r w:rsidRPr="008D548F">
        <w:rPr>
          <w:rFonts w:asciiTheme="majorHAnsi" w:hAnsiTheme="majorHAnsi"/>
          <w:sz w:val="24"/>
          <w:szCs w:val="24"/>
        </w:rPr>
        <w:t xml:space="preserve"> yang berkelanjutan, bukan sebagai peristiwa tunggal yang telah selesai. Buku ini juga mencerminkan keprihatinannya terhadap kekudusan praktis, khususnya dalam kaitannya dengan ketaatan kepada perintah-perintah Allah dan disiplin moral.</w:t>
      </w:r>
      <w:r w:rsidRPr="008D548F">
        <w:rPr>
          <w:rStyle w:val="FootnoteReference"/>
          <w:rFonts w:asciiTheme="majorHAnsi" w:hAnsiTheme="majorHAnsi"/>
          <w:sz w:val="24"/>
          <w:szCs w:val="24"/>
        </w:rPr>
        <w:footnoteReference w:id="4"/>
      </w:r>
    </w:p>
    <w:p w14:paraId="601603CC"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Penekanan yang berbeda muncul dalam Steps to Christ (1892), di mana White mengadopsi nada yang lebih pastoral dan devosional. Alih-alih membela kesalahpahaman doktrinal seputar pengudusan, ia berfokus pada hubungan pribadi orang percaya dengan Kristus.</w:t>
      </w:r>
      <w:r w:rsidRPr="008D548F">
        <w:rPr>
          <w:rStyle w:val="FootnoteReference"/>
          <w:rFonts w:asciiTheme="majorHAnsi" w:hAnsiTheme="majorHAnsi"/>
          <w:sz w:val="24"/>
          <w:szCs w:val="24"/>
        </w:rPr>
        <w:t xml:space="preserve"> </w:t>
      </w:r>
      <w:r w:rsidRPr="008D548F">
        <w:rPr>
          <w:rStyle w:val="FootnoteReference"/>
          <w:rFonts w:asciiTheme="majorHAnsi" w:hAnsiTheme="majorHAnsi"/>
          <w:sz w:val="24"/>
          <w:szCs w:val="24"/>
        </w:rPr>
        <w:footnoteReference w:id="5"/>
      </w:r>
      <w:r w:rsidRPr="008D548F">
        <w:rPr>
          <w:rFonts w:asciiTheme="majorHAnsi" w:hAnsiTheme="majorHAnsi"/>
          <w:sz w:val="24"/>
          <w:szCs w:val="24"/>
        </w:rPr>
        <w:t xml:space="preserve">Bab-bab seperti “Kebutuhan Orang Berdosa akan Kristus” dan “Bertumbuh dalam Kristus” menekankan pertobatan, penyerahan diri, doa, dan ketergantungan </w:t>
      </w:r>
      <w:r w:rsidRPr="008D548F">
        <w:rPr>
          <w:rFonts w:asciiTheme="majorHAnsi" w:hAnsiTheme="majorHAnsi"/>
          <w:sz w:val="24"/>
          <w:szCs w:val="24"/>
        </w:rPr>
        <w:lastRenderedPageBreak/>
        <w:t xml:space="preserve">sehari-hari pada kasih karunia ilahi. Dibandingkan dengan Pengudusan Alkitab, bahasa dalam Langkah-Langkah Menuju Kristus lebih menekankan pada kepastian, keintiman spiritual, dan aksesibilitas keselamatan bagi orang percaya biasa. Namun, perubahan nada ini tidak serta merta menunjukkan perubahan </w:t>
      </w:r>
      <w:r w:rsidRPr="008D548F">
        <w:rPr>
          <w:rFonts w:asciiTheme="majorHAnsi" w:eastAsia="Cambria" w:hAnsiTheme="majorHAnsi" w:cs="Cambria"/>
          <w:sz w:val="24"/>
          <w:szCs w:val="24"/>
        </w:rPr>
        <w:t>teologi</w:t>
      </w:r>
      <w:r w:rsidRPr="008D548F">
        <w:rPr>
          <w:rFonts w:asciiTheme="majorHAnsi" w:hAnsiTheme="majorHAnsi"/>
          <w:sz w:val="24"/>
          <w:szCs w:val="24"/>
        </w:rPr>
        <w:t xml:space="preserve">. Sebaliknya, hal ini menunjukkan penekanan pastoral yang berbeda yang diarahkan pada dorongan spiritual </w:t>
      </w:r>
      <w:r w:rsidRPr="008D548F">
        <w:rPr>
          <w:rFonts w:asciiTheme="majorHAnsi" w:eastAsia="Cambria" w:hAnsiTheme="majorHAnsi" w:cs="Cambria"/>
          <w:sz w:val="24"/>
          <w:szCs w:val="24"/>
        </w:rPr>
        <w:t>dan</w:t>
      </w:r>
      <w:r w:rsidRPr="008D548F">
        <w:rPr>
          <w:rFonts w:asciiTheme="majorHAnsi" w:hAnsiTheme="majorHAnsi"/>
          <w:sz w:val="24"/>
          <w:szCs w:val="24"/>
        </w:rPr>
        <w:t xml:space="preserve"> pengalaman Kristen praktis.</w:t>
      </w:r>
      <w:r w:rsidRPr="008D548F">
        <w:rPr>
          <w:rStyle w:val="FootnoteReference"/>
          <w:rFonts w:asciiTheme="majorHAnsi" w:hAnsiTheme="majorHAnsi"/>
          <w:sz w:val="24"/>
          <w:szCs w:val="24"/>
        </w:rPr>
        <w:footnoteReference w:id="6"/>
      </w:r>
      <w:r w:rsidRPr="008D548F">
        <w:rPr>
          <w:rFonts w:asciiTheme="majorHAnsi" w:hAnsiTheme="majorHAnsi"/>
          <w:sz w:val="24"/>
          <w:szCs w:val="24"/>
        </w:rPr>
        <w:t xml:space="preserve"> </w:t>
      </w:r>
    </w:p>
    <w:p w14:paraId="479C8665"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 xml:space="preserve">Interpretasi terhadap soteriologi White sering kali dibentuk oleh perdebatan seputar Konferensi Umum Minneapolis tahun 1888, khususnya diskusi tentang “Kebenaran melalui Iman” yang dikaitkan dengan EJ Waggoner dan AT Jones. Beberapa sarjana berpendapat bahwa tulisan-tulisan White setelah tahun 1888 mengungkapkan penekanan yang lebih kuat pada kasih karunia dan pembenaran melalui iman, sementara yang lain berpendapat bahwa </w:t>
      </w:r>
      <w:r w:rsidRPr="008D548F">
        <w:rPr>
          <w:rFonts w:asciiTheme="majorHAnsi" w:eastAsia="Cambria" w:hAnsiTheme="majorHAnsi" w:cs="Cambria"/>
          <w:sz w:val="24"/>
          <w:szCs w:val="24"/>
        </w:rPr>
        <w:t>posisi</w:t>
      </w:r>
      <w:r w:rsidRPr="008D548F">
        <w:rPr>
          <w:rFonts w:asciiTheme="majorHAnsi" w:hAnsiTheme="majorHAnsi"/>
          <w:sz w:val="24"/>
          <w:szCs w:val="24"/>
        </w:rPr>
        <w:t xml:space="preserve"> teologisnya tetap konsisten </w:t>
      </w:r>
      <w:r w:rsidRPr="008D548F">
        <w:rPr>
          <w:rFonts w:asciiTheme="majorHAnsi" w:eastAsia="Cambria" w:hAnsiTheme="majorHAnsi" w:cs="Cambria"/>
          <w:sz w:val="24"/>
          <w:szCs w:val="24"/>
        </w:rPr>
        <w:t>secara</w:t>
      </w:r>
      <w:r w:rsidRPr="008D548F">
        <w:rPr>
          <w:rFonts w:asciiTheme="majorHAnsi" w:hAnsiTheme="majorHAnsi"/>
          <w:sz w:val="24"/>
          <w:szCs w:val="24"/>
        </w:rPr>
        <w:t xml:space="preserve"> fundamental sebelum dan sesudah tahun 1888. Oleh karena </w:t>
      </w:r>
      <w:r w:rsidRPr="008D548F">
        <w:rPr>
          <w:rStyle w:val="FootnoteReference"/>
          <w:rFonts w:asciiTheme="majorHAnsi" w:hAnsiTheme="majorHAnsi"/>
          <w:sz w:val="24"/>
          <w:szCs w:val="24"/>
        </w:rPr>
        <w:footnoteReference w:id="7"/>
      </w:r>
      <w:r w:rsidRPr="008D548F">
        <w:rPr>
          <w:rFonts w:asciiTheme="majorHAnsi" w:hAnsiTheme="majorHAnsi"/>
          <w:sz w:val="24"/>
          <w:szCs w:val="24"/>
        </w:rPr>
        <w:t>itu, perbandingan yang cermat antara Pengudusan Alkitab dan Langkah-Langkah Menuju Kristus menjadi penting dalam mengevaluasi apakah White mengalami perkembangan doktrinal atau hanya menyesuaikan presentasi pastoralnya sesuai dengan kebutuhan gereja.</w:t>
      </w:r>
      <w:r w:rsidRPr="008D548F">
        <w:rPr>
          <w:rStyle w:val="FootnoteReference"/>
          <w:rFonts w:asciiTheme="majorHAnsi" w:hAnsiTheme="majorHAnsi"/>
          <w:sz w:val="24"/>
          <w:szCs w:val="24"/>
        </w:rPr>
        <w:footnoteReference w:id="8"/>
      </w:r>
      <w:r w:rsidRPr="008D548F">
        <w:rPr>
          <w:rFonts w:asciiTheme="majorHAnsi" w:hAnsiTheme="majorHAnsi"/>
          <w:sz w:val="24"/>
          <w:szCs w:val="24"/>
        </w:rPr>
        <w:t xml:space="preserve"> </w:t>
      </w:r>
    </w:p>
    <w:p w14:paraId="5ADCB000" w14:textId="77777777" w:rsidR="008D548F" w:rsidRPr="008D548F" w:rsidRDefault="008D548F" w:rsidP="008D548F">
      <w:pPr>
        <w:spacing w:after="0" w:line="300" w:lineRule="auto"/>
        <w:ind w:firstLine="720"/>
        <w:jc w:val="both"/>
        <w:rPr>
          <w:rFonts w:asciiTheme="majorHAnsi" w:hAnsiTheme="majorHAnsi"/>
          <w:sz w:val="24"/>
          <w:szCs w:val="24"/>
        </w:rPr>
      </w:pPr>
      <w:r w:rsidRPr="008D548F">
        <w:rPr>
          <w:rFonts w:asciiTheme="majorHAnsi" w:hAnsiTheme="majorHAnsi"/>
          <w:sz w:val="24"/>
          <w:szCs w:val="24"/>
        </w:rPr>
        <w:t xml:space="preserve">Studi ini menganalisis penyajian White </w:t>
      </w:r>
      <w:r w:rsidRPr="008D548F">
        <w:rPr>
          <w:rFonts w:asciiTheme="majorHAnsi" w:eastAsia="Cambria" w:hAnsiTheme="majorHAnsi" w:cs="Cambria"/>
          <w:sz w:val="24"/>
          <w:szCs w:val="24"/>
        </w:rPr>
        <w:t>tentang</w:t>
      </w:r>
      <w:r w:rsidRPr="008D548F">
        <w:rPr>
          <w:rFonts w:asciiTheme="majorHAnsi" w:hAnsiTheme="majorHAnsi"/>
          <w:sz w:val="24"/>
          <w:szCs w:val="24"/>
        </w:rPr>
        <w:t xml:space="preserve"> pembenaran dan pengudusan melalui pembacaan komparatif dari Bible Sanctification (1882) dan Steps to Christ (1892). Alih-alih berulang kali meringkas tema-tema teologis yang luas, penelitian ini berfokus pada bagaimana White membangun argumennya dalam teks-teks itu sendiri, termasuk pilihan bahasanya, penekanan teologis, dan tujuan pastoralnya.</w:t>
      </w:r>
      <w:r w:rsidRPr="008D548F">
        <w:rPr>
          <w:rStyle w:val="FootnoteReference"/>
          <w:rFonts w:asciiTheme="majorHAnsi" w:hAnsiTheme="majorHAnsi"/>
          <w:sz w:val="24"/>
          <w:szCs w:val="24"/>
        </w:rPr>
        <w:footnoteReference w:id="9"/>
      </w:r>
      <w:r w:rsidRPr="008D548F">
        <w:rPr>
          <w:rFonts w:asciiTheme="majorHAnsi" w:hAnsiTheme="majorHAnsi"/>
          <w:sz w:val="24"/>
          <w:szCs w:val="24"/>
        </w:rPr>
        <w:t xml:space="preserve"> Dengan menempatkan kedua buku tersebut dalam konteks historis dan teologisnya, studi ini berupaya menentukan apakah perbedaan di antara </w:t>
      </w:r>
      <w:r w:rsidRPr="008D548F">
        <w:rPr>
          <w:rFonts w:asciiTheme="majorHAnsi" w:eastAsia="Cambria" w:hAnsiTheme="majorHAnsi" w:cs="Cambria"/>
          <w:sz w:val="24"/>
          <w:szCs w:val="24"/>
        </w:rPr>
        <w:t>keduanya</w:t>
      </w:r>
      <w:r w:rsidRPr="008D548F">
        <w:rPr>
          <w:rFonts w:asciiTheme="majorHAnsi" w:hAnsiTheme="majorHAnsi"/>
          <w:sz w:val="24"/>
          <w:szCs w:val="24"/>
        </w:rPr>
        <w:t xml:space="preserve"> mewakili perubahan teologis atau kesinambungan dalam kerangka soteriologis White. Pada akhirnya, penelitian ini berpendapat bahwa kedua karya tersebut secara konsisten menyajikan keselamatan sebagai persatuan pembenaran oleh iman dan pengudusan seumur hidup, sementara perbedaan utamanya terletak pada fokus retorika dan penerapan pastoral.</w:t>
      </w:r>
    </w:p>
    <w:p w14:paraId="7C89DAA2" w14:textId="77777777" w:rsidR="00537A88" w:rsidRPr="008D548F" w:rsidRDefault="00537A88">
      <w:pPr>
        <w:spacing w:after="0" w:line="300" w:lineRule="auto"/>
        <w:jc w:val="both"/>
        <w:rPr>
          <w:rFonts w:asciiTheme="majorHAnsi" w:eastAsia="Cambria" w:hAnsiTheme="majorHAnsi" w:cs="Cambria"/>
          <w:sz w:val="24"/>
          <w:szCs w:val="24"/>
          <w:lang w:val="sv-SE"/>
        </w:rPr>
      </w:pPr>
    </w:p>
    <w:p w14:paraId="4F95668C" w14:textId="77777777" w:rsidR="00537A88" w:rsidRDefault="00D24A94">
      <w:pPr>
        <w:widowControl w:val="0"/>
        <w:numPr>
          <w:ilvl w:val="0"/>
          <w:numId w:val="1"/>
        </w:numPr>
        <w:pBdr>
          <w:top w:val="nil"/>
          <w:left w:val="nil"/>
          <w:bottom w:val="nil"/>
          <w:right w:val="nil"/>
          <w:between w:val="nil"/>
        </w:pBdr>
        <w:spacing w:after="0" w:line="300" w:lineRule="auto"/>
        <w:ind w:left="426" w:hanging="426"/>
        <w:jc w:val="both"/>
        <w:rPr>
          <w:rFonts w:ascii="Cambria" w:eastAsia="Cambria" w:hAnsi="Cambria" w:cs="Cambria"/>
          <w:b/>
          <w:color w:val="000000"/>
          <w:sz w:val="24"/>
          <w:szCs w:val="24"/>
        </w:rPr>
      </w:pPr>
      <w:r>
        <w:rPr>
          <w:rFonts w:ascii="Cambria" w:eastAsia="Cambria" w:hAnsi="Cambria" w:cs="Cambria"/>
          <w:b/>
          <w:color w:val="000000"/>
          <w:sz w:val="24"/>
          <w:szCs w:val="24"/>
        </w:rPr>
        <w:t xml:space="preserve">Metode Penelitian </w:t>
      </w:r>
    </w:p>
    <w:p w14:paraId="3F5855E8" w14:textId="77777777" w:rsidR="007B4381" w:rsidRPr="007B4381" w:rsidRDefault="007B4381" w:rsidP="007B4381">
      <w:pPr>
        <w:spacing w:after="0" w:line="300" w:lineRule="auto"/>
        <w:ind w:firstLine="720"/>
        <w:jc w:val="both"/>
        <w:rPr>
          <w:rFonts w:ascii="Cambria" w:eastAsia="Cambria" w:hAnsi="Cambria" w:cs="Cambria"/>
          <w:sz w:val="24"/>
          <w:szCs w:val="24"/>
        </w:rPr>
      </w:pPr>
      <w:r w:rsidRPr="007B4381">
        <w:rPr>
          <w:rFonts w:ascii="Cambria" w:eastAsia="Cambria" w:hAnsi="Cambria" w:cs="Cambria"/>
          <w:sz w:val="24"/>
          <w:szCs w:val="24"/>
        </w:rPr>
        <w:t xml:space="preserve">Penelitian ini menggunakan metode penelitian kualitatif dengan pendekatan teologis-historis dan analisis komparatif. Pendekatan ini bertujuan untuk menganalisis serta membandingkan konsep soteriologi Ellen G. White dalam dua karya utamanya, yaitu </w:t>
      </w:r>
      <w:r w:rsidRPr="007B4381">
        <w:rPr>
          <w:rFonts w:ascii="Cambria" w:eastAsia="Cambria" w:hAnsi="Cambria" w:cs="Cambria"/>
          <w:i/>
          <w:iCs/>
          <w:sz w:val="24"/>
          <w:szCs w:val="24"/>
        </w:rPr>
        <w:lastRenderedPageBreak/>
        <w:t>Pengudusan Alkitab</w:t>
      </w:r>
      <w:r w:rsidRPr="007B4381">
        <w:rPr>
          <w:rFonts w:ascii="Cambria" w:eastAsia="Cambria" w:hAnsi="Cambria" w:cs="Cambria"/>
          <w:sz w:val="24"/>
          <w:szCs w:val="24"/>
        </w:rPr>
        <w:t xml:space="preserve"> (1882) dan </w:t>
      </w:r>
      <w:r w:rsidRPr="007B4381">
        <w:rPr>
          <w:rFonts w:ascii="Cambria" w:eastAsia="Cambria" w:hAnsi="Cambria" w:cs="Cambria"/>
          <w:i/>
          <w:iCs/>
          <w:sz w:val="24"/>
          <w:szCs w:val="24"/>
        </w:rPr>
        <w:t>Langkah-Langkah Menuju Kristus</w:t>
      </w:r>
      <w:r w:rsidRPr="007B4381">
        <w:rPr>
          <w:rFonts w:ascii="Cambria" w:eastAsia="Cambria" w:hAnsi="Cambria" w:cs="Cambria"/>
          <w:sz w:val="24"/>
          <w:szCs w:val="24"/>
        </w:rPr>
        <w:t xml:space="preserve"> (1892), dengan memperhatikan konteks historis, penekanan teologis, dan tujuan pastoral dari masing-masing karya. Data penelitian merupakan data sekunder yang diperoleh melalui studi kepustakaan </w:t>
      </w:r>
      <w:r w:rsidRPr="007B4381">
        <w:rPr>
          <w:rFonts w:ascii="Cambria" w:eastAsia="Cambria" w:hAnsi="Cambria" w:cs="Cambria"/>
          <w:i/>
          <w:iCs/>
          <w:sz w:val="24"/>
          <w:szCs w:val="24"/>
        </w:rPr>
        <w:t xml:space="preserve">(library research), </w:t>
      </w:r>
      <w:r w:rsidRPr="007B4381">
        <w:rPr>
          <w:rFonts w:ascii="Cambria" w:eastAsia="Cambria" w:hAnsi="Cambria" w:cs="Cambria"/>
          <w:sz w:val="24"/>
          <w:szCs w:val="24"/>
        </w:rPr>
        <w:t>meliputi kedua karya utama Ellen G. White sebagai sumber primer serta buku, jurnal ilmiah, dan literatur teologi Advent sebagai sumber pendukung. Teknik analisis data dilakukan melalui analisis isi (</w:t>
      </w:r>
      <w:r w:rsidRPr="007B4381">
        <w:rPr>
          <w:rFonts w:ascii="Cambria" w:eastAsia="Cambria" w:hAnsi="Cambria" w:cs="Cambria"/>
          <w:i/>
          <w:iCs/>
          <w:sz w:val="24"/>
          <w:szCs w:val="24"/>
        </w:rPr>
        <w:t>content analysis</w:t>
      </w:r>
      <w:r w:rsidRPr="007B4381">
        <w:rPr>
          <w:rFonts w:ascii="Cambria" w:eastAsia="Cambria" w:hAnsi="Cambria" w:cs="Cambria"/>
          <w:sz w:val="24"/>
          <w:szCs w:val="24"/>
        </w:rPr>
        <w:t>) dan analisis komparatif untuk mengidentifikasi persamaan, perbedaan, serta perkembangan pemikiran soteriologi Ellen G. White, sehingga diperoleh pemahaman yang komprehensif mengenai konsistensi dan dinamika teologinya.</w:t>
      </w:r>
    </w:p>
    <w:p w14:paraId="5E11C3DF" w14:textId="77777777" w:rsidR="00537A88" w:rsidRPr="002F0379" w:rsidRDefault="00537A88">
      <w:pPr>
        <w:spacing w:after="0" w:line="300" w:lineRule="auto"/>
        <w:jc w:val="both"/>
        <w:rPr>
          <w:rFonts w:ascii="Cambria" w:eastAsia="Cambria" w:hAnsi="Cambria" w:cs="Cambria"/>
          <w:sz w:val="24"/>
          <w:szCs w:val="24"/>
          <w:lang w:val="sv-SE"/>
        </w:rPr>
      </w:pPr>
    </w:p>
    <w:p w14:paraId="6A9426CA" w14:textId="77777777" w:rsidR="00537A88" w:rsidRDefault="00D24A94">
      <w:pPr>
        <w:widowControl w:val="0"/>
        <w:numPr>
          <w:ilvl w:val="0"/>
          <w:numId w:val="1"/>
        </w:numPr>
        <w:pBdr>
          <w:top w:val="nil"/>
          <w:left w:val="nil"/>
          <w:bottom w:val="nil"/>
          <w:right w:val="nil"/>
          <w:between w:val="nil"/>
        </w:pBdr>
        <w:spacing w:after="0" w:line="300" w:lineRule="auto"/>
        <w:ind w:left="426" w:hanging="426"/>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w:t>
      </w:r>
    </w:p>
    <w:p w14:paraId="3B6B79DA" w14:textId="77777777" w:rsidR="008D548F" w:rsidRPr="008D548F" w:rsidRDefault="008D548F" w:rsidP="008D548F">
      <w:pPr>
        <w:spacing w:after="0" w:line="300" w:lineRule="auto"/>
        <w:jc w:val="both"/>
        <w:rPr>
          <w:rFonts w:ascii="Cambria" w:eastAsia="Cambria" w:hAnsi="Cambria" w:cs="Cambria"/>
          <w:b/>
          <w:bCs/>
          <w:i/>
          <w:sz w:val="24"/>
          <w:szCs w:val="24"/>
          <w:lang w:val="id"/>
        </w:rPr>
      </w:pPr>
      <w:r w:rsidRPr="008D548F">
        <w:rPr>
          <w:rFonts w:ascii="Cambria" w:eastAsia="Cambria" w:hAnsi="Cambria" w:cs="Cambria"/>
          <w:b/>
          <w:bCs/>
          <w:i/>
          <w:sz w:val="24"/>
          <w:szCs w:val="24"/>
          <w:lang w:val="id"/>
        </w:rPr>
        <w:t>Konteks Sejarah dan Teologis (1882–1892)</w:t>
      </w:r>
    </w:p>
    <w:p w14:paraId="01A52D1C" w14:textId="77777777" w:rsidR="008D548F" w:rsidRPr="008D548F" w:rsidRDefault="008D548F" w:rsidP="008D548F">
      <w:pPr>
        <w:numPr>
          <w:ilvl w:val="0"/>
          <w:numId w:val="2"/>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Gambaran Teologis Adventis Awal</w:t>
      </w:r>
    </w:p>
    <w:p w14:paraId="38C04E9C"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Pada awal tahun 1880-an, teologi Gereja Masehi Advent Hari Ketujuh mengalami periode konsolidasi doktrinal dan spiritual seiring dengan pergeserannya dari asal-usul Millerite. Selama perkembangan ini, gereja berupaya mengintegrasikan ajaran-ajaran khasnya seperti penafsiran nubuat, hari Sabat, dan pelayanan Kristus di tempat kudus surgawi dengan kebutuhan pastoral untuk memberikan kepastian keselamatan kepada orang percaya. Pada saat yang sama, beberapa anggota cenderung menafsirkan ketaatan kepada hukum Allah secara legalistik, memperlakukannya sebagai sarana keselamatan daripada hasil iman, yang menciptakan kebutuhan akan penjelasan teologis yang lebih jelas mengenai hubungan antara hukum, kasih karunia, dan iman.</w:t>
      </w:r>
      <w:r w:rsidRPr="008D548F">
        <w:rPr>
          <w:rFonts w:ascii="Cambria" w:eastAsia="Cambria" w:hAnsi="Cambria" w:cs="Cambria"/>
          <w:sz w:val="24"/>
          <w:szCs w:val="24"/>
          <w:vertAlign w:val="superscript"/>
          <w:lang w:val="id"/>
        </w:rPr>
        <w:footnoteReference w:id="10"/>
      </w:r>
    </w:p>
    <w:p w14:paraId="44947C6E"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Gerakan Kekudusan yang dipengaruhi Metodisme, yang menekankan "pengudusan kedua" sebagai jalan menuju kesempurnaan tanpa dosa, juga membentuk iklim spiritual pada periode tersebut. Ellen G. White menanggapi perspektif ini secara kritis, memperingatkan terhadap pandangan yang dapat mendorong fanatisme spiritual atau keputusasaan di antara orang percaya yang masih bergumul dengan dosa. Ia menekankan bahwa pengudusan bukanlah pengalaman emosional yang instan, tetapi proses seumur hidup yang berakar pada hubungan yang berkelanjutan dengan Kristus.</w:t>
      </w:r>
      <w:r w:rsidRPr="008D548F">
        <w:rPr>
          <w:rFonts w:ascii="Cambria" w:eastAsia="Cambria" w:hAnsi="Cambria" w:cs="Cambria"/>
          <w:sz w:val="24"/>
          <w:szCs w:val="24"/>
          <w:vertAlign w:val="superscript"/>
          <w:lang w:val="id"/>
        </w:rPr>
        <w:footnoteReference w:id="11"/>
      </w:r>
    </w:p>
    <w:p w14:paraId="0F767163"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Selain itu, integrasi teologi tempat kudus dan pesan tiga malaikat memberikan kerangka kerja penting bagi soteriologi Advent awal. Menurut Alberto R. Timm, struktur teologis ini menghubungkan eskatologi dengan keselamatan pribadi melalui konsep-konsep seperti penghakiman pra-kedatangan dan pembersihan tempat kudus surgawi. Dalam kerangka kerja ini, keselamatan dipahami sebagai proses komprehensif yang </w:t>
      </w:r>
      <w:r w:rsidRPr="008D548F">
        <w:rPr>
          <w:rFonts w:ascii="Cambria" w:eastAsia="Cambria" w:hAnsi="Cambria" w:cs="Cambria"/>
          <w:sz w:val="24"/>
          <w:szCs w:val="24"/>
          <w:lang w:val="id"/>
        </w:rPr>
        <w:lastRenderedPageBreak/>
        <w:t>mencakup pemulihan karakter dan kesiapan untuk penggenapan eskatologis , bukan sekadar pernyataan hukum tentang pengampunan.</w:t>
      </w:r>
      <w:r w:rsidRPr="008D548F">
        <w:rPr>
          <w:rFonts w:ascii="Cambria" w:eastAsia="Cambria" w:hAnsi="Cambria" w:cs="Cambria"/>
          <w:sz w:val="24"/>
          <w:szCs w:val="24"/>
          <w:vertAlign w:val="superscript"/>
          <w:lang w:val="id"/>
        </w:rPr>
        <w:footnoteReference w:id="12"/>
      </w:r>
    </w:p>
    <w:p w14:paraId="4DE8AC3F" w14:textId="77777777" w:rsidR="008D548F" w:rsidRPr="008D548F" w:rsidRDefault="008D548F" w:rsidP="008D548F">
      <w:pPr>
        <w:numPr>
          <w:ilvl w:val="0"/>
          <w:numId w:val="2"/>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Penerbitan Pengudusan Alkitab (1882)</w:t>
      </w:r>
    </w:p>
    <w:p w14:paraId="7224B91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vertAlign w:val="superscript"/>
          <w:lang w:val="id"/>
        </w:rPr>
        <w:footnoteReference w:id="13"/>
      </w:r>
      <w:r w:rsidRPr="008D548F">
        <w:rPr>
          <w:rFonts w:ascii="Cambria" w:eastAsia="Cambria" w:hAnsi="Cambria" w:cs="Cambria"/>
          <w:sz w:val="24"/>
          <w:szCs w:val="24"/>
          <w:lang w:val="id"/>
        </w:rPr>
        <w:t>Pengudusan Alkitab (1882) berfokus pada mengoreksi kesalahpahaman di dalam gereja mengenai hakikat proses pengudusan. Dalam karya ini, White menekankan bahwa pengudusan adalah proses pengembangan karakter yang berkelanjutan melalui hubungan yang intim dengan Kristus, bukan pencapaian kesempurnaan tanpa dosa secara instan. Ia juga menyatakan bahwa ketaatan adalah hasil dari iman yang sejati tetapi bukan dasar keselamatan, sehingga secara jelas membedakan antara legalisme dan antinomianisme.</w:t>
      </w:r>
      <w:r w:rsidRPr="008D548F">
        <w:rPr>
          <w:rFonts w:ascii="Cambria" w:eastAsia="Cambria" w:hAnsi="Cambria" w:cs="Cambria"/>
          <w:sz w:val="24"/>
          <w:szCs w:val="24"/>
          <w:vertAlign w:val="superscript"/>
          <w:lang w:val="id"/>
        </w:rPr>
        <w:footnoteReference w:id="14"/>
      </w:r>
    </w:p>
    <w:p w14:paraId="05DD76C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Dalam kerangka soteriologisnya, Pengudusan Alkitab menyajikan keselamatan sebagai sesuatu yang melibatkan pembenaran melalui iman, pengudusan progresif, dan peran Roh Kudus dalam mengubah karakter orang percaya. Pengudusan dipahami sebagai karya ilahi yang dimulai oleh Roh Kudus tetapi membutuhkan respons aktif dari manusia. Praktik-praktik spiritual seperti doa, membaca Alkitab, dan tindakan pelayanan yang penuh kasih dipandang sebagai sarana untuk mempertahankan persatuan dengan Kristus dalam proses pertumbuhan spiritual.</w:t>
      </w:r>
      <w:r w:rsidRPr="008D548F">
        <w:rPr>
          <w:rFonts w:ascii="Cambria" w:eastAsia="Cambria" w:hAnsi="Cambria" w:cs="Cambria"/>
          <w:sz w:val="24"/>
          <w:szCs w:val="24"/>
          <w:vertAlign w:val="superscript"/>
          <w:lang w:val="id"/>
        </w:rPr>
        <w:footnoteReference w:id="15"/>
      </w:r>
    </w:p>
    <w:p w14:paraId="1C229ED1" w14:textId="77777777" w:rsidR="008D548F" w:rsidRPr="008D548F" w:rsidRDefault="008D548F" w:rsidP="008D548F">
      <w:pPr>
        <w:numPr>
          <w:ilvl w:val="0"/>
          <w:numId w:val="2"/>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Konferensi Umum Minneapolis 1888</w:t>
      </w:r>
    </w:p>
    <w:p w14:paraId="77336854"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Titik balik penting dalam sejarah doktrin Advent adalah Konferensi Umum Minneapolis tahun 1888 yang menggeser penekanan pada soteriologi yang lebih berpusat pada Kristus . Ceramah EJ Waggoner dan AT Jones memperkuat konsep "kebenaran oleh iman" dan menekankan bahwa satu-satunya dasar yang sah untuk keselamatan manusia adalah kebenaran Kristus sendiri. </w:t>
      </w:r>
      <w:r w:rsidRPr="008D548F">
        <w:rPr>
          <w:rFonts w:ascii="Cambria" w:eastAsia="Cambria" w:hAnsi="Cambria" w:cs="Cambria"/>
          <w:sz w:val="24"/>
          <w:szCs w:val="24"/>
          <w:vertAlign w:val="superscript"/>
          <w:lang w:val="id"/>
        </w:rPr>
        <w:footnoteReference w:id="16"/>
      </w:r>
      <w:r w:rsidRPr="008D548F">
        <w:rPr>
          <w:rFonts w:ascii="Cambria" w:eastAsia="Cambria" w:hAnsi="Cambria" w:cs="Cambria"/>
          <w:sz w:val="24"/>
          <w:szCs w:val="24"/>
          <w:lang w:val="id"/>
        </w:rPr>
        <w:t>Pidato ini menekankan bahwa pembenaran adalah karunia yang diperoleh melalui iman dan menentang kecenderungan legalistik yang semakin marak di dalam gereja.</w:t>
      </w:r>
      <w:r w:rsidRPr="008D548F">
        <w:rPr>
          <w:rFonts w:ascii="Cambria" w:eastAsia="Cambria" w:hAnsi="Cambria" w:cs="Cambria"/>
          <w:sz w:val="24"/>
          <w:szCs w:val="24"/>
          <w:vertAlign w:val="superscript"/>
          <w:lang w:val="id"/>
        </w:rPr>
        <w:footnoteReference w:id="17"/>
      </w:r>
    </w:p>
    <w:p w14:paraId="0A364565"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Dukungan teguh White terhadap pesan ini menunjukkan dedikasinya yang teguh pada kerangka teologis yang berlandaskan Kristus. Ia memandang ceramah tahun 1888 sebagai pemulihan penting dari kebenaran-kebenaran Injil yang mendasar yang sebelumnya telah diabaikan atau disembunyikan dalam wacana gereja, bukan sebagai </w:t>
      </w:r>
      <w:r w:rsidRPr="008D548F">
        <w:rPr>
          <w:rFonts w:ascii="Cambria" w:eastAsia="Cambria" w:hAnsi="Cambria" w:cs="Cambria"/>
          <w:sz w:val="24"/>
          <w:szCs w:val="24"/>
          <w:lang w:val="id"/>
        </w:rPr>
        <w:lastRenderedPageBreak/>
        <w:t xml:space="preserve">penyimpangan dari teologi yang diterima atau inovasi teologis. </w:t>
      </w:r>
      <w:r w:rsidRPr="008D548F">
        <w:rPr>
          <w:rFonts w:ascii="Cambria" w:eastAsia="Cambria" w:hAnsi="Cambria" w:cs="Cambria"/>
          <w:sz w:val="24"/>
          <w:szCs w:val="24"/>
          <w:vertAlign w:val="superscript"/>
          <w:lang w:val="id"/>
        </w:rPr>
        <w:footnoteReference w:id="18"/>
      </w:r>
      <w:r w:rsidRPr="008D548F">
        <w:rPr>
          <w:rFonts w:ascii="Cambria" w:eastAsia="Cambria" w:hAnsi="Cambria" w:cs="Cambria"/>
          <w:sz w:val="24"/>
          <w:szCs w:val="24"/>
          <w:lang w:val="id"/>
        </w:rPr>
        <w:t>Pengudusan dipandang sebagai reaksi syukur terhadap pembenaran, bukan sebagai persyaratan untuk itu selama era pasca-1888 yang ditandai dengan upaya untuk menggabungkan kasih karunia dengan ketaatan.</w:t>
      </w:r>
    </w:p>
    <w:p w14:paraId="5F10F64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Asumsi ini memicu perdebatan teologis yang lebih dalam di dalam Adventisme tentang hubungan antara iman dan perbuatan, khususnya berkaitan dengan konsep penghakiman investigatif . Menurut perspektif ini, keselamatan digambarkan sebagai pengalaman dinamis dan multidimensional yang mencakup proses pengembangan karakter yang berkelanjutan serta pemberitaan pembenaran secara hukum dan seketika. </w:t>
      </w:r>
      <w:r w:rsidRPr="008D548F">
        <w:rPr>
          <w:rFonts w:ascii="Cambria" w:eastAsia="Cambria" w:hAnsi="Cambria" w:cs="Cambria"/>
          <w:sz w:val="24"/>
          <w:szCs w:val="24"/>
          <w:vertAlign w:val="superscript"/>
          <w:lang w:val="id"/>
        </w:rPr>
        <w:footnoteReference w:id="19"/>
      </w:r>
      <w:r w:rsidRPr="008D548F">
        <w:rPr>
          <w:rFonts w:ascii="Cambria" w:eastAsia="Cambria" w:hAnsi="Cambria" w:cs="Cambria"/>
          <w:sz w:val="24"/>
          <w:szCs w:val="24"/>
          <w:lang w:val="id"/>
        </w:rPr>
        <w:t>Identitas teologis Adventis yang unik dibentuk oleh ketegangan kreatif antara kedua elemen ini.</w:t>
      </w:r>
    </w:p>
    <w:p w14:paraId="28C5D42C" w14:textId="77777777" w:rsidR="008D548F" w:rsidRPr="008D548F" w:rsidRDefault="008D548F" w:rsidP="008D548F">
      <w:pPr>
        <w:numPr>
          <w:ilvl w:val="0"/>
          <w:numId w:val="2"/>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Penerbitan Langkah-Langkah Menuju Kristus (1892)</w:t>
      </w:r>
    </w:p>
    <w:p w14:paraId="48695A8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Kedewasaan teologis dan pastoral White tercermin dalam penerbitan Steps to Christ (1892). Ditulis dengan tujuan penginjilan, buku ini menekankan kasih Yesus, pertobatan, iman, dan kehidupan baru di dalam Kristus, menyajikan jalan keselamatan dalam bahasa yang jelas dan mudah dipahami. </w:t>
      </w:r>
      <w:r w:rsidRPr="008D548F">
        <w:rPr>
          <w:rFonts w:ascii="Cambria" w:eastAsia="Cambria" w:hAnsi="Cambria" w:cs="Cambria"/>
          <w:sz w:val="24"/>
          <w:szCs w:val="24"/>
          <w:vertAlign w:val="superscript"/>
          <w:lang w:val="id"/>
        </w:rPr>
        <w:footnoteReference w:id="20"/>
      </w:r>
      <w:r w:rsidRPr="008D548F">
        <w:rPr>
          <w:rFonts w:ascii="Cambria" w:eastAsia="Cambria" w:hAnsi="Cambria" w:cs="Cambria"/>
          <w:sz w:val="24"/>
          <w:szCs w:val="24"/>
          <w:lang w:val="id"/>
        </w:rPr>
        <w:t>Berbeda dengan Bible Sanctification (1882), yang terutama membahas masalah doktrinal internal di dalam gereja, Steps to Christ memperluas pesan keselamatan kepada khalayak yang lebih luas melalui pendekatan pastoral dan devosional.</w:t>
      </w:r>
      <w:r w:rsidRPr="008D548F">
        <w:rPr>
          <w:rFonts w:ascii="Cambria" w:eastAsia="Cambria" w:hAnsi="Cambria" w:cs="Cambria"/>
          <w:sz w:val="24"/>
          <w:szCs w:val="24"/>
          <w:vertAlign w:val="superscript"/>
          <w:lang w:val="id"/>
        </w:rPr>
        <w:footnoteReference w:id="21"/>
      </w:r>
    </w:p>
    <w:p w14:paraId="0CC3A06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Karya ini mencerminkan pergeseran penekanan dari pengajaran teologis korektif menuju penyajian kemuridan yang lebih relasional dan berpusat pada Kristus . Fokusnya diletakkan pada hubungan intim dengan Kristus sebagai inti kehidupan spiritual, sementara transformasi karakter digambarkan sebagai proses berkelanjutan yang dimungkinkan oleh kasih karunia ilahi. Alih-alih pengalaman pasif, pertumbuhan spiritual disajikan sebagai penyelarasan berkelanjutan antara kehendak dan tindakan orang percaya dengan kehendak Tuhan.</w:t>
      </w:r>
      <w:r w:rsidRPr="008D548F">
        <w:rPr>
          <w:rFonts w:ascii="Cambria" w:eastAsia="Cambria" w:hAnsi="Cambria" w:cs="Cambria"/>
          <w:sz w:val="24"/>
          <w:szCs w:val="24"/>
          <w:vertAlign w:val="superscript"/>
          <w:lang w:val="id"/>
        </w:rPr>
        <w:footnoteReference w:id="22"/>
      </w:r>
    </w:p>
    <w:p w14:paraId="47ED465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Dalam kerangka soteriologisnya, Langkah-Langkah Menuju Kristus mengintegrasikan pembenaran, pengudusan, dan harapan eskatologis dalam pengalaman hidup orang percaya. Keselamatan disajikan sebagai pemulihan holistik kehidupan manusia, yang mencakup pembaharuan moral dan spiritual, bukan sekadar pengampunan hukum. Perspektif ini menyoroti transformasi sebagai pembaharuan batin dan fondasi bagi kehidupan Kristen lahiriah.</w:t>
      </w:r>
    </w:p>
    <w:p w14:paraId="74B056E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p>
    <w:p w14:paraId="2C032AA6" w14:textId="77777777" w:rsidR="008D548F" w:rsidRPr="008D548F" w:rsidRDefault="008D548F" w:rsidP="008D548F">
      <w:pPr>
        <w:spacing w:after="0" w:line="300" w:lineRule="auto"/>
        <w:jc w:val="both"/>
        <w:rPr>
          <w:rFonts w:ascii="Cambria" w:eastAsia="Cambria" w:hAnsi="Cambria" w:cs="Cambria"/>
          <w:b/>
          <w:bCs/>
          <w:i/>
          <w:sz w:val="24"/>
          <w:szCs w:val="24"/>
          <w:lang w:val="id"/>
        </w:rPr>
      </w:pPr>
      <w:r w:rsidRPr="008D548F">
        <w:rPr>
          <w:rFonts w:ascii="Cambria" w:eastAsia="Cambria" w:hAnsi="Cambria" w:cs="Cambria"/>
          <w:b/>
          <w:bCs/>
          <w:i/>
          <w:sz w:val="24"/>
          <w:szCs w:val="24"/>
          <w:lang w:val="id"/>
        </w:rPr>
        <w:lastRenderedPageBreak/>
        <w:t>Analisis Teologis: Pengudusan Alkitab (1882)</w:t>
      </w:r>
    </w:p>
    <w:p w14:paraId="46FBA180" w14:textId="77777777" w:rsidR="008D548F" w:rsidRPr="008D548F" w:rsidRDefault="008D548F" w:rsidP="004551CA">
      <w:pPr>
        <w:numPr>
          <w:ilvl w:val="0"/>
          <w:numId w:val="3"/>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Definisi Pengudusan pada awal tahun 1882</w:t>
      </w:r>
    </w:p>
    <w:p w14:paraId="3E6F7E9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Ellen G. White secara tegas membantah kekeliruan yang meluas di akhir abad ke-19 bahwa pengudusan adalah kondisi statis dan stabil yang bebas dari kecenderungan berdosa dalam buku Pengudusan Alkitab. Ia berpendapat bahwa banyak orang yang mengaku telah dikuduskan tidak memiliki pemahaman Alkitabiah yang tepat tentang gagasan tersebut, yang ia tafsirkan ulang sebagai perjalanan seumur hidup yang berkelanjutan, bukan pengalaman tunggal dan singkat yang menyelesaikan kesulitan moral. Perspektif ini menyatakan bahwa pengudusan sejati, seperti proses pengembangan karakter, dibutuhkan dan dipelihara oleh hubungan aktif yang langgeng dengan Kristus.</w:t>
      </w:r>
    </w:p>
    <w:p w14:paraId="565877EA"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White membandingkan perkembangan karakter dengan transisi yang lambat dan bertahap dari masa kanak-kanak ke masa dewasa untuk menyoroti aspek dinamis kehidupan spiritual. Menurut penafsirannya terhadap 1 Tesalonika 5:23, pengudusan "utuh" memerlukan integrasi lengkap tubuh, jiwa, dan roh dalam tugas penting untuk membangun kembali citra ilahi di dalam diri manusia. Sudut pandang ini menyajikan perkembangan moral sebagai proses pengajaran ilahi yang bertujuan dan berfokus pada pemulihan manusia secara menyeluruh, bukan sebagai perubahan yang terjadi seketika.</w:t>
      </w:r>
      <w:r w:rsidRPr="008D548F">
        <w:rPr>
          <w:rFonts w:ascii="Cambria" w:eastAsia="Cambria" w:hAnsi="Cambria" w:cs="Cambria"/>
          <w:sz w:val="24"/>
          <w:szCs w:val="24"/>
          <w:vertAlign w:val="superscript"/>
          <w:lang w:val="id"/>
        </w:rPr>
        <w:footnoteReference w:id="23"/>
      </w:r>
    </w:p>
    <w:p w14:paraId="1AFD3F0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Fokus kuat White pada hukum ilahi menunjukkan bahwa ia memandangnya sebagai bagian penting dan tambahan dari proses penebusan, bukan sebagai musuh kasih karunia. Menurut teori ini, Kristus menawarkan penebusan yang diperlukan untuk pelanggaran yang sama yang diungkapkan oleh hukum, sementara hukum berfungsi sebagai cermin diagnostik yang mengungkapkan dosa. Dengan mengkarakterisasi hukum sebagai catatan karakter Allah sendiri, ia mempertahankan bahwa tujuan utama pengudusan adalah pemulihan kemiripan ilahi di dalam diri manusia. Sudut pandang ini dengan mulus menggabungkan gagasan tentang tempat kudus surgawi dan keselamatan pribadi yang ditemukan dalam teologi Advent awal.</w:t>
      </w:r>
      <w:r w:rsidRPr="008D548F">
        <w:rPr>
          <w:rFonts w:ascii="Cambria" w:eastAsia="Cambria" w:hAnsi="Cambria" w:cs="Cambria"/>
          <w:sz w:val="24"/>
          <w:szCs w:val="24"/>
          <w:vertAlign w:val="superscript"/>
          <w:lang w:val="id"/>
        </w:rPr>
        <w:footnoteReference w:id="24"/>
      </w:r>
    </w:p>
    <w:p w14:paraId="00679C0E" w14:textId="77777777" w:rsidR="008D548F" w:rsidRPr="008D548F" w:rsidRDefault="008D548F" w:rsidP="005811C8">
      <w:pPr>
        <w:numPr>
          <w:ilvl w:val="0"/>
          <w:numId w:val="3"/>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Hubungan antara Iman dan Perbuatan</w:t>
      </w:r>
    </w:p>
    <w:p w14:paraId="21DA7485"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Ekstrem teologis legalisme, yang secara keliru memandang ketaatan sebagai pahala untuk keselamatan jiwa, dan antinomianisme yang menolak penerapan hukum setelah keselamatan, memunculkan topik iman dan perbuatan dalam Pengudusan Alkitab. Kedua kesalahan tersebut ditolak oleh White yang menjunjung tinggi kerangka kerja yang seimbang di mana kehidupan yang taat merupakan manifestasi tak terhindarkan dari iman yang sejati, tetapi dengan tegas menyatakan bahwa ketaatan </w:t>
      </w:r>
      <w:r w:rsidRPr="008D548F">
        <w:rPr>
          <w:rFonts w:ascii="Cambria" w:eastAsia="Cambria" w:hAnsi="Cambria" w:cs="Cambria"/>
          <w:sz w:val="24"/>
          <w:szCs w:val="24"/>
          <w:lang w:val="id"/>
        </w:rPr>
        <w:lastRenderedPageBreak/>
        <w:t>tersebut tidak pernah berfungsi sebagai dasar hukum atau fundamental bagi pembenaran seorang percaya.</w:t>
      </w:r>
    </w:p>
    <w:p w14:paraId="54B4C4F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Landasan hukum bagi proses pengudusan internal dan transformatif adalah pembenaran yang digambarkan sebagai pernyataan kebenaran Allah atas orang berdosa melalui kepercayaan kepada Kristus. Kontras ini konsisten dengan tradisi teologis Adventis yang lebih luas tentang pembenaran melalui iman yang menjunjung tinggi keseimbangan vital dan dinamis antara menjalani kehidupan ketaatan dan menerima kasih karunia ilahi . </w:t>
      </w:r>
      <w:r w:rsidRPr="008D548F">
        <w:rPr>
          <w:rFonts w:ascii="Cambria" w:eastAsia="Cambria" w:hAnsi="Cambria" w:cs="Cambria"/>
          <w:sz w:val="24"/>
          <w:szCs w:val="24"/>
          <w:vertAlign w:val="superscript"/>
          <w:lang w:val="id"/>
        </w:rPr>
        <w:footnoteReference w:id="25"/>
      </w:r>
      <w:r w:rsidRPr="008D548F">
        <w:rPr>
          <w:rFonts w:ascii="Cambria" w:eastAsia="Cambria" w:hAnsi="Cambria" w:cs="Cambria"/>
          <w:sz w:val="24"/>
          <w:szCs w:val="24"/>
          <w:lang w:val="id"/>
        </w:rPr>
        <w:t>Hermeneutika yang krusial bagi White adalah ungkapan "iman yang bekerja melalui kasih" (Galatia 5:6), yang menunjukkan bahwa iman sejati menghasilkan perubahan moral yang sejati.</w:t>
      </w:r>
    </w:p>
    <w:p w14:paraId="35F53E3A"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Selain itu, White memperingatkan terhadap bahaya hanya mengandalkan perbuatan baik untuk menjamin keselamatan. Janji Kristus adalah sumber kepastian keselamatan, bukan perilaku baik manusia . Pandangan ini menangkap keselarasan antara subjektivitas pengalaman iman dan objektivitas kasih karunia yang kemudian dikembangkan lebih lanjut dalam teologi keselamatan Advent.</w:t>
      </w:r>
      <w:r w:rsidRPr="008D548F">
        <w:rPr>
          <w:rFonts w:ascii="Cambria" w:eastAsia="Cambria" w:hAnsi="Cambria" w:cs="Cambria"/>
          <w:sz w:val="24"/>
          <w:szCs w:val="24"/>
          <w:vertAlign w:val="superscript"/>
          <w:lang w:val="id"/>
        </w:rPr>
        <w:footnoteReference w:id="26"/>
      </w:r>
      <w:r w:rsidRPr="008D548F">
        <w:rPr>
          <w:rFonts w:ascii="Cambria" w:eastAsia="Cambria" w:hAnsi="Cambria" w:cs="Cambria"/>
          <w:sz w:val="24"/>
          <w:szCs w:val="24"/>
          <w:vertAlign w:val="superscript"/>
          <w:lang w:val="id"/>
        </w:rPr>
        <w:footnoteReference w:id="27"/>
      </w:r>
    </w:p>
    <w:p w14:paraId="1C6112A3" w14:textId="77777777" w:rsidR="008D548F" w:rsidRPr="008D548F" w:rsidRDefault="008D548F" w:rsidP="005811C8">
      <w:pPr>
        <w:numPr>
          <w:ilvl w:val="0"/>
          <w:numId w:val="3"/>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Peran Roh Kudus</w:t>
      </w:r>
    </w:p>
    <w:p w14:paraId="5314A95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Pengudusan Alkitabiah menyajikan Roh Kudus sebagai agen utama pengudusan, meskipun bahasa pneumatologi formal belum sepenuhnya terbentuk pada zaman White . Manusia tidak dapat menguduskan diri mereka sendiri. Sebaliknya, Roh Kudus memperbarui kehendak dan karakter. Gagasan ini menggambarkan paradigma sinergis di mana Tuhan memulai proses keselamatan, manusia bereaksi, dan Tuhan memberi mereka kemampuan untuk bereaksi.</w:t>
      </w:r>
    </w:p>
    <w:p w14:paraId="5AB15C4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Dengan mengemukakan kerangka kerja sinergis yang menyoroti kesatuan penting dengan Kristus sebagai pusat pengalaman keselamatan, model ini membedakan soteriologi White dari Pelagianisme dan monergisme Calvinis yang kaku. Metode ini melihat kehadiran Roh Kudus sebagai realitas fungsional yang memungkinkan orang percaya untuk berinteraksi dengan kasih karunia daripada hanya bergantung pada ketetapan ilahi atau potensi bawaan manusia. Akibatnya, diyakini bahwa perkembangan spiritual dan menjadi lebih seperti Kristus adalah hasil yang tak terhindarkan dari hubungan ilahi-manusia ini di mana Roh memberi seseorang kemampuan untuk menjalani kehidupan yang berubah.</w:t>
      </w:r>
      <w:r w:rsidRPr="008D548F">
        <w:rPr>
          <w:rFonts w:ascii="Cambria" w:eastAsia="Cambria" w:hAnsi="Cambria" w:cs="Cambria"/>
          <w:sz w:val="24"/>
          <w:szCs w:val="24"/>
          <w:vertAlign w:val="superscript"/>
          <w:lang w:val="id"/>
        </w:rPr>
        <w:footnoteReference w:id="28"/>
      </w:r>
    </w:p>
    <w:p w14:paraId="612ECCD0"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Kepedulian pastoral White terhadap ketidakaktifan spiritual tercermin dalam fokusnya pada tanggung jawab manusia dalam menanggapi kasih karunia. Ia berpendapat bahwa disiplin spiritual seperti doa, studi Alkitab, dan pelayanan yang penuh kasih adalah </w:t>
      </w:r>
      <w:r w:rsidRPr="008D548F">
        <w:rPr>
          <w:rFonts w:ascii="Cambria" w:eastAsia="Cambria" w:hAnsi="Cambria" w:cs="Cambria"/>
          <w:sz w:val="24"/>
          <w:szCs w:val="24"/>
          <w:lang w:val="id"/>
        </w:rPr>
        <w:lastRenderedPageBreak/>
        <w:t>cara untuk berkolaborasi dengan Roh Kudus dalam proses pengudusan dan menentang fatalisme spiritual .</w:t>
      </w:r>
    </w:p>
    <w:p w14:paraId="5B743568" w14:textId="77777777" w:rsidR="008D548F" w:rsidRPr="008D548F" w:rsidRDefault="008D548F" w:rsidP="005811C8">
      <w:pPr>
        <w:numPr>
          <w:ilvl w:val="0"/>
          <w:numId w:val="3"/>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Bahaya Fanatisme dan Perasaan</w:t>
      </w:r>
    </w:p>
    <w:p w14:paraId="1431BB90"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Ellen G. White memperingatkan terhadap penggunaan perasaan subjektif sebagai indikator yang dapat diandalkan untuk keselamatan atau status spiritual. Berbeda dengan Gerakan Kekudusan abad ke-19, yang sering memperlakukan pengalaman emosional yang kuat sebagai bukti pengudusan, ia berpendapat bahwa kepastian keselamatan harus didasarkan pada janji-janji objektif yang terdapat dalam Firman Tuhan, bukan pada emosi manusia yang berfluktuasi.</w:t>
      </w:r>
      <w:r w:rsidRPr="008D548F">
        <w:rPr>
          <w:rFonts w:ascii="Cambria" w:eastAsia="Cambria" w:hAnsi="Cambria" w:cs="Cambria"/>
          <w:sz w:val="24"/>
          <w:szCs w:val="24"/>
          <w:vertAlign w:val="superscript"/>
          <w:lang w:val="id"/>
        </w:rPr>
        <w:footnoteReference w:id="29"/>
      </w:r>
      <w:r w:rsidRPr="008D548F">
        <w:rPr>
          <w:rFonts w:ascii="Cambria" w:eastAsia="Cambria" w:hAnsi="Cambria" w:cs="Cambria"/>
          <w:sz w:val="24"/>
          <w:szCs w:val="24"/>
          <w:lang w:val="id"/>
        </w:rPr>
        <w:t xml:space="preserve"> Dalam konteks komunitas Adventis yang dibentuk oleh harapan eskatologis yang kuat dan tuntutan moral yang ketat, penekanan ini memberikan stabilitas pastoral yang penting. White menggeser dasar kepastian spiritual dari ketidakstabilan emosional ke keandalan janji-janji ilahi, mendorong pemahaman iman yang lebih mendasar dan disiplin.</w:t>
      </w:r>
      <w:r w:rsidRPr="008D548F">
        <w:rPr>
          <w:rFonts w:ascii="Cambria" w:eastAsia="Cambria" w:hAnsi="Cambria" w:cs="Cambria"/>
          <w:sz w:val="24"/>
          <w:szCs w:val="24"/>
          <w:vertAlign w:val="superscript"/>
          <w:lang w:val="id"/>
        </w:rPr>
        <w:footnoteReference w:id="30"/>
      </w:r>
    </w:p>
    <w:p w14:paraId="52F5428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Perspektif ini juga mencerminkan upayanya yang lebih luas untuk menjaga keseimbangan teologis dalam Gereja Advent yang sedang berkembang. Dengan menolak fanatisme dan luapan emosi, ia berupaya melestarikan pengalaman iman yang berakar pada Kitab Suci dan dicirikan oleh pertumbuhan spiritual yang stabil, bukan ekspresi agama yang tidak stabil atau ekstrem.</w:t>
      </w:r>
    </w:p>
    <w:p w14:paraId="260700C1" w14:textId="77777777" w:rsidR="008D548F" w:rsidRPr="008D548F" w:rsidRDefault="008D548F" w:rsidP="005811C8">
      <w:pPr>
        <w:numPr>
          <w:ilvl w:val="0"/>
          <w:numId w:val="3"/>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Kesimpulan Sementara tentang Pengudusan dalam Alkitab</w:t>
      </w:r>
    </w:p>
    <w:p w14:paraId="75B4A44E"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Pengudusan Alkitab (1882), yang menyajikan pengudusan sebagai jalan perubahan yang berkelanjutan sepanjang hidup, bukan sebagai kejadian statis atau instan, berfungsi sebagai koreksi dan pilar inti dalam teologi Advent. Menurut paradigma ini, kepercayaan kepada Kristus tetap menjadi satu-satunya dasar keselamatan manusia, tetapi hukum ilahi tetap relevan sebagai norma moral objektif yang mencerminkan sifat Allah. Perspektif penebusan ini memandang ketaatan sebagai hasil yang tak terhindarkan dan alami dari iman yang hidup sejati, bukan sebagai persyaratan legalistik untuk mendapatkan perkenanan .</w:t>
      </w:r>
    </w:p>
    <w:p w14:paraId="2E104D62"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Peran White sebagai mentor spiritual bagi gereja yang sedang berkembang, yang seringkali rentan terhadap radikalisme teologis, tercermin dalam gaya penulisan karyanya. Ia dengan lembut mengarahkan gereja yang baru berdiri itu menjauh dari ekstremisme legalisme dan fanatisme emosional dengan mengadopsi nada yang berfungsi sebagai faktor penenang untuk mengatasi hambatan-hambatan tersebut. Akibatnya, karyanya berfungsi sebagai alat pastoral yang bertujuan untuk menumbuhkan </w:t>
      </w:r>
      <w:r w:rsidRPr="008D548F">
        <w:rPr>
          <w:rFonts w:ascii="Cambria" w:eastAsia="Cambria" w:hAnsi="Cambria" w:cs="Cambria"/>
          <w:sz w:val="24"/>
          <w:szCs w:val="24"/>
          <w:lang w:val="id"/>
        </w:rPr>
        <w:lastRenderedPageBreak/>
        <w:t>identitas yang utuh dan berlandaskan Alkitab pada tahun-tahun awal komunitas tersebut.</w:t>
      </w:r>
      <w:r w:rsidRPr="008D548F">
        <w:rPr>
          <w:rFonts w:ascii="Cambria" w:eastAsia="Cambria" w:hAnsi="Cambria" w:cs="Cambria"/>
          <w:sz w:val="24"/>
          <w:szCs w:val="24"/>
          <w:vertAlign w:val="superscript"/>
          <w:lang w:val="id"/>
        </w:rPr>
        <w:footnoteReference w:id="31"/>
      </w:r>
    </w:p>
    <w:p w14:paraId="4275649F"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p>
    <w:p w14:paraId="2CA1EE32" w14:textId="77777777" w:rsidR="008D548F" w:rsidRPr="008D548F" w:rsidRDefault="008D548F" w:rsidP="008D548F">
      <w:pPr>
        <w:spacing w:after="0" w:line="300" w:lineRule="auto"/>
        <w:jc w:val="both"/>
        <w:rPr>
          <w:rFonts w:ascii="Cambria" w:eastAsia="Cambria" w:hAnsi="Cambria" w:cs="Cambria"/>
          <w:b/>
          <w:bCs/>
          <w:i/>
          <w:sz w:val="24"/>
          <w:szCs w:val="24"/>
          <w:lang w:val="id"/>
        </w:rPr>
      </w:pPr>
      <w:r w:rsidRPr="008D548F">
        <w:rPr>
          <w:rFonts w:ascii="Cambria" w:eastAsia="Cambria" w:hAnsi="Cambria" w:cs="Cambria"/>
          <w:b/>
          <w:bCs/>
          <w:i/>
          <w:sz w:val="24"/>
          <w:szCs w:val="24"/>
          <w:lang w:val="id"/>
        </w:rPr>
        <w:t>Analisis Teologis: Langkah-langkah Menuju Kristus (1892)</w:t>
      </w:r>
    </w:p>
    <w:p w14:paraId="5B3BC41C"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Struktur dan Pendekatan Pastoral</w:t>
      </w:r>
    </w:p>
    <w:p w14:paraId="1EDF5F1C"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Tiga belas bab dalam buku Langkah Menuju Kristus disusun dengan cermat dalam urutan progresif yang bertujuan untuk membawa pembaca dari pemahaman dasar tentang dosa menuju kehidupan yang ditandai dengan pelayanan yang berpusat pada kasih . Melalui perspektif pragmatis dan eksistensial, kerangka kerja ini mencerminkan ordo salutis (urutan keselamatan) yang mengutamakan pengalaman hidup di atas kerangka kerja teoretis. Buku ini menunjukkan bahwa keselamatan adalah proses dinamis dan relasional, bukan peristiwa tunggal atau statis, dengan mengarahkan seseorang melalui berbagai fase pertobatan, pengakuan dosa, penyerahan diri, dan iman yang mengarah pada hubungan yang lebih dalam dengan Tuhan, perkembangan spiritual, dan pelayanan lahiriah.</w:t>
      </w:r>
      <w:r w:rsidRPr="008D548F">
        <w:rPr>
          <w:rFonts w:ascii="Cambria" w:eastAsia="Cambria" w:hAnsi="Cambria" w:cs="Cambria"/>
          <w:sz w:val="24"/>
          <w:szCs w:val="24"/>
          <w:vertAlign w:val="superscript"/>
          <w:lang w:val="id"/>
        </w:rPr>
        <w:footnoteReference w:id="32"/>
      </w:r>
    </w:p>
    <w:p w14:paraId="7A506F1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Berbeda dengan nada polemik dan definisi yang lebih ketat dalam karya-karyanya sebelumnya, sikap pastoral White yang semakin meningkat tercermin dalam pergeseran menuju gaya sastra yang hangat, liris, dan ramah. Dengan menyoroti esensi mendasar dari kasih ilahi, tulisannya berbicara langsung ke hati pembaca daripada membebani mereka dengan kewajiban legalistik. Mengikuti fokus Adventis pasca-1888 pada kebenaran melalui iman, yang semakin diungkapkan dalam istilah Kristosentris, perubahan ini menunjukkan evolusi yang disengaja dalam komunikasi teologisnya. Akibatnya, penekanannya bergeser dari pembelaan formal doktrin di forum gerejawi ke upaya yang lebih disengaja untuk menumbuhkan pengalaman nyata akan kasih karunia di antara umat awam yang melihat teologi sebagai realitas manusia yang transformatif, bukan hanya sekumpulan klaim intelektual.</w:t>
      </w:r>
      <w:r w:rsidRPr="008D548F">
        <w:rPr>
          <w:rFonts w:ascii="Cambria" w:eastAsia="Cambria" w:hAnsi="Cambria" w:cs="Cambria"/>
          <w:sz w:val="24"/>
          <w:szCs w:val="24"/>
          <w:vertAlign w:val="superscript"/>
          <w:lang w:val="id"/>
        </w:rPr>
        <w:footnoteReference w:id="33"/>
      </w:r>
    </w:p>
    <w:p w14:paraId="7AC2AEDA"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Dosa dan Pertobatan</w:t>
      </w:r>
    </w:p>
    <w:p w14:paraId="19BAD7CF"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White mendefinisikan kondisi manusia sebagai kondisi keterasingan dari Tuhan dan membingkai dosa terutama sebagai hubungan yang rusak, bukan sekadar pelanggaran hukum ilahi. Hal ini menggeser penekanan teologis dari kerangka hukum ke kerangka relasional, di mana keselamatan dipahami sebagai pemulihan persekutuan antara umat manusia dan Sang Pencipta. Dalam pandangan ini, penebusan berfungsi </w:t>
      </w:r>
      <w:r w:rsidRPr="008D548F">
        <w:rPr>
          <w:rFonts w:ascii="Cambria" w:eastAsia="Cambria" w:hAnsi="Cambria" w:cs="Cambria"/>
          <w:sz w:val="24"/>
          <w:szCs w:val="24"/>
          <w:lang w:val="id"/>
        </w:rPr>
        <w:lastRenderedPageBreak/>
        <w:t>sebagai sarana untuk menyembuhkan dan memperbarui hubungan yang terganggu ini, bukan hanya menangani konsekuensi hukum dari dosa .</w:t>
      </w:r>
      <w:r w:rsidRPr="008D548F">
        <w:rPr>
          <w:rFonts w:ascii="Cambria" w:eastAsia="Cambria" w:hAnsi="Cambria" w:cs="Cambria"/>
          <w:sz w:val="24"/>
          <w:szCs w:val="24"/>
          <w:vertAlign w:val="superscript"/>
          <w:lang w:val="id"/>
        </w:rPr>
        <w:footnoteReference w:id="34"/>
      </w:r>
    </w:p>
    <w:p w14:paraId="2FF5E85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Pertobatan disajikan sebagai penataan ulang kehidupan yang mendasar yang melampaui respons emosional sementara. White membedakan antara kesedihan yang berpusat pada Tuhan, yang mengarah pada harapan dan pembaharuan, dan kesedihan yang berpusat pada diri sendiri , yang menghasilkan keputusasaan. Oleh karena itu, pertobatan sejati ditandai dengan perubahan total seluruh keberadaan menuju Tuhan, yang melibatkan penataan ulang tujuan, nilai, dan arah yang langgeng.</w:t>
      </w:r>
      <w:r w:rsidRPr="008D548F">
        <w:rPr>
          <w:rFonts w:ascii="Cambria" w:eastAsia="Cambria" w:hAnsi="Cambria" w:cs="Cambria"/>
          <w:sz w:val="24"/>
          <w:szCs w:val="24"/>
          <w:vertAlign w:val="superscript"/>
          <w:lang w:val="id"/>
        </w:rPr>
        <w:footnoteReference w:id="35"/>
      </w:r>
    </w:p>
    <w:p w14:paraId="07DFC1D4"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White lebih lanjut menekankan bahwa bahkan keinginan awal untuk bertobat berasal dari pengaruh ilahi, menggarisbawahi keutamaan kasih karunia dalam proses keselamatan. Dalam dinamika relasional ini, inisiatif ilahi dan respons manusia berinteraksi tanpa menghilangkan tanggung jawab manusia. Perspektif ini menghindari fatalisme deterministik dan jasa yang berpusat pada manusia , menjaga keseimbangan antara kedaulatan ilahi dan partisipasi manusia.</w:t>
      </w:r>
      <w:r w:rsidRPr="008D548F">
        <w:rPr>
          <w:rFonts w:ascii="Cambria" w:eastAsia="Cambria" w:hAnsi="Cambria" w:cs="Cambria"/>
          <w:sz w:val="24"/>
          <w:szCs w:val="24"/>
          <w:vertAlign w:val="superscript"/>
          <w:lang w:val="id"/>
        </w:rPr>
        <w:footnoteReference w:id="36"/>
      </w:r>
    </w:p>
    <w:p w14:paraId="2E1BA28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Inti dari kerangka teologis ini adalah iman, yang dipahami bukan sekadar persetujuan intelektual tetapi sebagai kepercayaan eksistensial pada pribadi Kristus. Iman digambarkan sebagai keyakinan akan kasih dan hikmat Allah, yang diungkapkan sebagai penerimaan keselamatan secara reseptif dan bukan sebagai pencapaian manusia. Metafora menerima hadiah menggambarkan konsep ini, menekankan bahwa keselamatan diterima dan bukan diperoleh melalui usaha, serta menyoroti iman sebagai sarana yang digunakan orang percaya untuk menerima janji-janji ilahi.</w:t>
      </w:r>
      <w:r w:rsidRPr="008D548F">
        <w:rPr>
          <w:rFonts w:ascii="Cambria" w:eastAsia="Cambria" w:hAnsi="Cambria" w:cs="Cambria"/>
          <w:sz w:val="24"/>
          <w:szCs w:val="24"/>
          <w:vertAlign w:val="superscript"/>
          <w:lang w:val="id"/>
        </w:rPr>
        <w:footnoteReference w:id="37"/>
      </w:r>
    </w:p>
    <w:p w14:paraId="7536FDF1"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Iman dan Penyerahan Diri</w:t>
      </w:r>
    </w:p>
    <w:p w14:paraId="59B8EBC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Alih-alih menjadi tindakan berulang yang dipicu oleh setiap kemunduran baru, penyerahan diri digambarkan sebagai komitmen mendasar, menyeluruh, dan abadi yang membentuk landasan kehidupan yang berubah. White berpendapat bahwa meskipun emosi manusia pada dasarnya tidak menentu dan dapat berubah, pilihan awal seorang percaya untuk tunduk kepada Kristus tetap menjadi fondasi yang kokoh. Sudut pandangnya menawarkan solusi pastoral yang penting untuk masalah spiritual dan ketidakpastian berulang yang sering membahayakan kepastian keselamatan seseorang dengan membedakan antara konsistensi komitmen mendasar ini dan ketidakstabilan perasaan.</w:t>
      </w:r>
      <w:r w:rsidRPr="008D548F">
        <w:rPr>
          <w:rFonts w:ascii="Cambria" w:eastAsia="Cambria" w:hAnsi="Cambria" w:cs="Cambria"/>
          <w:sz w:val="24"/>
          <w:szCs w:val="24"/>
          <w:vertAlign w:val="superscript"/>
          <w:lang w:val="id"/>
        </w:rPr>
        <w:footnoteReference w:id="38"/>
      </w:r>
    </w:p>
    <w:p w14:paraId="263A1A6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lastRenderedPageBreak/>
        <w:t>Menurut paradigma soteriologis ini, penyerahan diri menciptakan ruang yang dibutuhkan agar proses pengudusan bertahap dapat terjadi dan bertindak sebagai penegasan akhir pembenaran. White menggambarkan kehidupan Kristen sebagai kondisi konstan tinggal di dalam Kristus, dengan jelas menolak gagasan bahwa seorang percaya harus "menyelamatkan kembali" dirinya sendiri melalui upaya berulang setiap hari. Hubungan ini adalah ikatan yang hidup dan bernapas yang terus dipelihara dan diperbarui melalui praktik iman, bukan serangkaian transaksi formal yang terpisah-pisah.</w:t>
      </w:r>
      <w:r w:rsidRPr="008D548F">
        <w:rPr>
          <w:rFonts w:ascii="Cambria" w:eastAsia="Cambria" w:hAnsi="Cambria" w:cs="Cambria"/>
          <w:sz w:val="24"/>
          <w:szCs w:val="24"/>
          <w:vertAlign w:val="superscript"/>
          <w:lang w:val="id"/>
        </w:rPr>
        <w:footnoteReference w:id="39"/>
      </w:r>
    </w:p>
    <w:p w14:paraId="1E144EA5"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Tinggallah di dalam Kristus</w:t>
      </w:r>
    </w:p>
    <w:p w14:paraId="0C19C645"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Inti spiritual teologi White adalah gagasan tinggal di dalam Kristus yang membingkai keselamatan sebagai hubungan penting dan penopang hidup menggunakan gambaran Alkitab tentang pokok anggur dan ranting-rantingnya. Sudut pandang ini mengubah penekanan teologis utama dari kekhawatiran legalistik tentang status keselamatan seseorang menjadi realitas relasional dan praktis dari kehadiran kontemporer di dalam Kristus. Kerangka kerja ini secara bersamaan menumbuhkan perasaan kerendahan hati yang mendalam dan optimisme yang abadi karena tanggung jawab atas kehidupan spiritual tetap terpusat pada kuasa Kristus dengan menambatkan keamanan orang percaya pada hubungan hidup ini daripada fluktuasi kinerja moral manusia.</w:t>
      </w:r>
      <w:r w:rsidRPr="008D548F">
        <w:rPr>
          <w:rFonts w:ascii="Cambria" w:eastAsia="Cambria" w:hAnsi="Cambria" w:cs="Cambria"/>
          <w:sz w:val="24"/>
          <w:szCs w:val="24"/>
          <w:vertAlign w:val="superscript"/>
          <w:lang w:val="id"/>
        </w:rPr>
        <w:footnoteReference w:id="40"/>
      </w:r>
    </w:p>
    <w:p w14:paraId="53D7ECA1"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Alih-alih menjadi instrumen untuk memperoleh keselamatan, White menekankan doa dan studi Kitab Suci sebagai sarana anugerah yang vital yang menopang dan memupuk hubungan orang percaya dengan ilahi. Dalam perspektif ini, praktik-praktik spiritual ditafsirkan kembali sebagai sarana penting untuk mempertahankan hubungan yang konstan dengan sumber kehidupan, bukan sebagai prasyarat legalistik untuk mencapai posisi yang lebih tinggi. Akibatnya, soteriologi ini bersifat inkarnasional dan praktis, dengan kokoh mendasarkan pengalaman teologis tentang anugerah pada aktivitas konkret sehari-hari kehidupan orang percaya.</w:t>
      </w:r>
      <w:r w:rsidRPr="008D548F">
        <w:rPr>
          <w:rFonts w:ascii="Cambria" w:eastAsia="Cambria" w:hAnsi="Cambria" w:cs="Cambria"/>
          <w:sz w:val="24"/>
          <w:szCs w:val="24"/>
          <w:vertAlign w:val="superscript"/>
          <w:lang w:val="id"/>
        </w:rPr>
        <w:footnoteReference w:id="41"/>
      </w:r>
    </w:p>
    <w:p w14:paraId="1D9DB2BC"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Dengan memfokuskan seluruh pengalaman keselamatan pada Kristus dan bukan pada usaha manusia, kerangka teologis ini berhasil melindungi dari jebakan keagamaan klasik berupa kesombongan dan keputusasaan rohani. Karena orang percaya memahami bahwa status mereka adalah anugerah eksternal dan bukan pencapaian pribadi atau jasa moral, kesombongan secara konsisten dihilangkan. Di sisi lain, keputusasaan dicegah karena kegagalan moral yang sementara tidak dilihat sebagai putusnya hubungan </w:t>
      </w:r>
      <w:r w:rsidRPr="008D548F">
        <w:rPr>
          <w:rFonts w:ascii="Cambria" w:eastAsia="Cambria" w:hAnsi="Cambria" w:cs="Cambria"/>
          <w:sz w:val="24"/>
          <w:szCs w:val="24"/>
          <w:lang w:val="id"/>
        </w:rPr>
        <w:lastRenderedPageBreak/>
        <w:t>penebusan secara instan, melainkan hubungan tersebut dipertahankan selama orang tersebut tetap berada di dalam Dia. Strategi ini menciptakan lingkungan rohani yang kokoh yang mendorong kerendahan hati yang mendalam dan perasaan optimisme yang terus-menerus dengan mendasarkan kepastian pada hubungan yang stabil dan hidup ini.</w:t>
      </w:r>
      <w:r w:rsidRPr="008D548F">
        <w:rPr>
          <w:rFonts w:ascii="Cambria" w:eastAsia="Cambria" w:hAnsi="Cambria" w:cs="Cambria"/>
          <w:sz w:val="24"/>
          <w:szCs w:val="24"/>
          <w:vertAlign w:val="superscript"/>
          <w:lang w:val="id"/>
        </w:rPr>
        <w:footnoteReference w:id="42"/>
      </w:r>
    </w:p>
    <w:p w14:paraId="45DE8C65"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Pertumbuhan dan Pelayanan</w:t>
      </w:r>
    </w:p>
    <w:p w14:paraId="05BCDE14"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Bagian terakhir menekankan bahwa kehidupan pelayanan dan pengembangan karakter yang berkelanjutan merupakan hasil akhir dari penebusan. Ellen G. White menggunakan metafora tanaman yang tumbuh untuk menggambarkan pertumbuhan spiritual sebagai proses bertahap dan seringkali tidak terlihat, yang dibuktikan oleh efek kumulatifnya. Oleh karena itu, pengembangan karakter yang sejati dipahami sebagai ekspresi praktis dari kasih karunia, yang tercermin dalam sifat-sifat yang konsisten seperti kesabaran, kasih sayang, dan kerendahan hati, bukan dalam pengalaman emosional sesaat.</w:t>
      </w:r>
      <w:r w:rsidRPr="008D548F">
        <w:rPr>
          <w:rFonts w:ascii="Cambria" w:eastAsia="Cambria" w:hAnsi="Cambria" w:cs="Cambria"/>
          <w:sz w:val="24"/>
          <w:szCs w:val="24"/>
          <w:vertAlign w:val="superscript"/>
          <w:lang w:val="id"/>
        </w:rPr>
        <w:footnoteReference w:id="43"/>
      </w:r>
    </w:p>
    <w:p w14:paraId="39A06182"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Pelayanan kepada sesama disajikan sebagai hasil alami dari kehidupan yang telah diubah. Pengalaman kasih ilahi diharapkan meluas ke luar, membentuk interaksi orang percaya dengan orang lain. Dalam pengertian ini, misi tidak dipandang sebagai kewajiban eksternal tetapi sebagai ekspresi organik dari hati yang diperbarui oleh kasih karunia. Keselamatan sejati dengan demikian pada dasarnya bersifat relasional dan bergerak keluar, yang ditunjukkan melalui kehidupan yang mencerminkan kasih yang diterima dari Tuhan.</w:t>
      </w:r>
      <w:r w:rsidRPr="008D548F">
        <w:rPr>
          <w:rFonts w:ascii="Cambria" w:eastAsia="Cambria" w:hAnsi="Cambria" w:cs="Cambria"/>
          <w:sz w:val="24"/>
          <w:szCs w:val="24"/>
          <w:vertAlign w:val="superscript"/>
          <w:lang w:val="id"/>
        </w:rPr>
        <w:footnoteReference w:id="44"/>
      </w:r>
    </w:p>
    <w:p w14:paraId="58C99390"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White menyimpulkan dengan perspektif eskatologis yang berpusat pada pemulihan akhir persekutuan dengan Tuhan. Harapan akan kehidupan kekal tidak disajikan sebagai pelarian dari tanggung jawab saat ini, tetapi sebagai kekuatan pendorong untuk hidup setia. Harapan yang berorientasi masa depan ini memberikan arahan etis pada perilaku saat ini , memastikan bahwa harapan akan pemulihan dengan Tuhan tercermin dalam transformasi karakter dan perilaku sehari-hari yang nyata.</w:t>
      </w:r>
      <w:r w:rsidRPr="008D548F">
        <w:rPr>
          <w:rFonts w:ascii="Cambria" w:eastAsia="Cambria" w:hAnsi="Cambria" w:cs="Cambria"/>
          <w:sz w:val="24"/>
          <w:szCs w:val="24"/>
          <w:vertAlign w:val="superscript"/>
          <w:lang w:val="id"/>
        </w:rPr>
        <w:footnoteReference w:id="45"/>
      </w:r>
    </w:p>
    <w:p w14:paraId="482EE543" w14:textId="77777777" w:rsidR="008D548F" w:rsidRPr="008D548F" w:rsidRDefault="008D548F" w:rsidP="005811C8">
      <w:pPr>
        <w:numPr>
          <w:ilvl w:val="0"/>
          <w:numId w:val="4"/>
        </w:numPr>
        <w:spacing w:after="0" w:line="300" w:lineRule="auto"/>
        <w:ind w:left="426" w:hanging="426"/>
        <w:jc w:val="both"/>
        <w:rPr>
          <w:rFonts w:ascii="Cambria" w:eastAsia="Cambria" w:hAnsi="Cambria" w:cs="Cambria"/>
          <w:bCs/>
          <w:sz w:val="24"/>
          <w:szCs w:val="24"/>
          <w:lang w:val="id"/>
        </w:rPr>
      </w:pPr>
      <w:r w:rsidRPr="008D548F">
        <w:rPr>
          <w:rFonts w:ascii="Cambria" w:eastAsia="Cambria" w:hAnsi="Cambria" w:cs="Cambria"/>
          <w:bCs/>
          <w:sz w:val="24"/>
          <w:szCs w:val="24"/>
          <w:lang w:val="id"/>
        </w:rPr>
        <w:t xml:space="preserve">Kesimpulan Sementara tentang </w:t>
      </w:r>
      <w:r w:rsidRPr="008D548F">
        <w:rPr>
          <w:rFonts w:ascii="Cambria" w:eastAsia="Cambria" w:hAnsi="Cambria" w:cs="Cambria"/>
          <w:bCs/>
          <w:i/>
          <w:iCs/>
          <w:sz w:val="24"/>
          <w:szCs w:val="24"/>
          <w:lang w:val="id"/>
        </w:rPr>
        <w:t>Langkah-langkah Menuju Kristus</w:t>
      </w:r>
    </w:p>
    <w:p w14:paraId="4A1E0F0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Langkah Menuju Kristus adalah puncak teologi pastoral White; karya ini menyajikan presentasi yang jauh lebih berkembang, Kristosentris, dan relasional, sambil tetap mempertahankan koherensi doktrinal dengan karya-karya sebelumnya. Berbeda dengan tulisan-tulisan sebelumnya yang sering menekankan kriteria teologis formal </w:t>
      </w:r>
      <w:r w:rsidRPr="008D548F">
        <w:rPr>
          <w:rFonts w:ascii="Cambria" w:eastAsia="Cambria" w:hAnsi="Cambria" w:cs="Cambria"/>
          <w:sz w:val="24"/>
          <w:szCs w:val="24"/>
          <w:lang w:val="id"/>
        </w:rPr>
        <w:lastRenderedPageBreak/>
        <w:t>tentang pengudusan, karya ini berfokus pada pengalaman nyata penebusan dalam konteks kehidupan sehari-hari. Menurut perspektif ini, teologi lebih dari sekadar gagasan intelektual. Teologi adalah hubungan dinamis yang secara mendalam mengubah karakter seseorang dan menyediakan energi vital yang dibutuhkan untuk pelayanan yang sukses.</w:t>
      </w:r>
    </w:p>
    <w:p w14:paraId="7E33A1FC"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Karya ini menggambarkan keyakinan White bahwa pengalaman spiritual dan kebenaran teologis terkait erat. Keselamatan adalah hubungan hidup dengan Kristus yang memperbaiki, mengubah, dan mengutus, bukan sekadar syarat hukum. Langkah-langkah Menuju Kristus kemudian menjadi buku teologi pastoral serta panduan renungan yang membentuk spiritualitas Adventis yang berfokus pada kasih karunia dan hubungan dengan Kristus.</w:t>
      </w:r>
    </w:p>
    <w:p w14:paraId="1DDA38F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p>
    <w:p w14:paraId="57C7E4F2" w14:textId="77777777" w:rsidR="008D548F" w:rsidRPr="008D548F" w:rsidRDefault="008D548F" w:rsidP="008D548F">
      <w:pPr>
        <w:spacing w:after="0" w:line="300" w:lineRule="auto"/>
        <w:jc w:val="both"/>
        <w:rPr>
          <w:rFonts w:ascii="Cambria" w:eastAsia="Cambria" w:hAnsi="Cambria" w:cs="Cambria"/>
          <w:b/>
          <w:bCs/>
          <w:i/>
          <w:sz w:val="24"/>
          <w:szCs w:val="24"/>
          <w:lang w:val="id"/>
        </w:rPr>
      </w:pPr>
      <w:r w:rsidRPr="008D548F">
        <w:rPr>
          <w:rFonts w:ascii="Cambria" w:eastAsia="Cambria" w:hAnsi="Cambria" w:cs="Cambria"/>
          <w:b/>
          <w:bCs/>
          <w:i/>
          <w:sz w:val="24"/>
          <w:szCs w:val="24"/>
          <w:lang w:val="id"/>
        </w:rPr>
        <w:t>Sintesis Teologis dan Analisis Komparatif</w:t>
      </w:r>
    </w:p>
    <w:p w14:paraId="638C5427" w14:textId="77777777" w:rsidR="008D548F" w:rsidRPr="008D548F" w:rsidRDefault="008D548F" w:rsidP="005811C8">
      <w:pPr>
        <w:numPr>
          <w:ilvl w:val="0"/>
          <w:numId w:val="5"/>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Konsistensi Doktrinal</w:t>
      </w:r>
    </w:p>
    <w:p w14:paraId="19853D4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Alih-alih mengandung inkonsistensi teologis, pemeriksaan yang cermat terhadap Pengudusan Alkitab (1882) dan Langkah-Langkah Menuju Kristus (1892) menunjukkan perkembangan filsafat pastoral yang koheren dan alami. Kedua buku tersebut mempertahankan koherensi doktrinal yang kuat, dengan keyakinan bahwa keselamatan hanya merupakan hasil dari belas kasihan ilahi meskipun materi selanjutnya mengambil nada yang lebih relasional dan Kristosentris. Transisi antara buku-buku ini adalah transisi fokus dan kematangan pedagogis daripada penyimpangan dari gagasan teologis fundamental, seperti yang ditunjukkan oleh kerangka kerja yang koheren di mana kasih karunia diperoleh melalui iman dan tak pelak muncul sebagai kehidupan yang diubah.</w:t>
      </w:r>
      <w:r w:rsidRPr="008D548F">
        <w:rPr>
          <w:rFonts w:ascii="Cambria" w:eastAsia="Cambria" w:hAnsi="Cambria" w:cs="Cambria"/>
          <w:sz w:val="24"/>
          <w:szCs w:val="24"/>
          <w:vertAlign w:val="superscript"/>
          <w:lang w:val="id"/>
        </w:rPr>
        <w:footnoteReference w:id="46"/>
      </w:r>
    </w:p>
    <w:p w14:paraId="278C8FD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Tabel 1. Perbandingan Penekanan Teologis</w:t>
      </w:r>
    </w:p>
    <w:tbl>
      <w:tblPr>
        <w:tblW w:w="8505" w:type="dxa"/>
        <w:tblCellSpacing w:w="15" w:type="dxa"/>
        <w:tblInd w:w="622"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661"/>
        <w:gridCol w:w="3017"/>
        <w:gridCol w:w="3827"/>
      </w:tblGrid>
      <w:tr w:rsidR="008D548F" w:rsidRPr="008D548F" w14:paraId="7773C6C7" w14:textId="77777777" w:rsidTr="005811C8">
        <w:trPr>
          <w:tblHeader/>
          <w:tblCellSpacing w:w="15" w:type="dxa"/>
        </w:trPr>
        <w:tc>
          <w:tcPr>
            <w:tcW w:w="1616" w:type="dxa"/>
            <w:tcBorders>
              <w:top w:val="nil"/>
              <w:bottom w:val="single" w:sz="4" w:space="0" w:color="auto"/>
            </w:tcBorders>
            <w:vAlign w:val="center"/>
          </w:tcPr>
          <w:p w14:paraId="56778DD6" w14:textId="77777777" w:rsidR="008D548F" w:rsidRPr="008D548F" w:rsidRDefault="008D548F" w:rsidP="005811C8">
            <w:pPr>
              <w:spacing w:after="0" w:line="240" w:lineRule="auto"/>
              <w:jc w:val="center"/>
              <w:rPr>
                <w:rFonts w:ascii="Cambria" w:eastAsia="Cambria" w:hAnsi="Cambria" w:cs="Cambria"/>
                <w:b/>
                <w:bCs/>
                <w:sz w:val="24"/>
                <w:szCs w:val="24"/>
                <w:lang w:val="id"/>
              </w:rPr>
            </w:pPr>
            <w:r w:rsidRPr="008D548F">
              <w:rPr>
                <w:rFonts w:ascii="Cambria" w:eastAsia="Cambria" w:hAnsi="Cambria" w:cs="Cambria"/>
                <w:b/>
                <w:bCs/>
                <w:sz w:val="24"/>
                <w:szCs w:val="24"/>
                <w:lang w:val="id"/>
              </w:rPr>
              <w:t>Aspek</w:t>
            </w:r>
          </w:p>
        </w:tc>
        <w:tc>
          <w:tcPr>
            <w:tcW w:w="2987" w:type="dxa"/>
            <w:tcBorders>
              <w:top w:val="nil"/>
              <w:bottom w:val="single" w:sz="4" w:space="0" w:color="auto"/>
            </w:tcBorders>
            <w:vAlign w:val="center"/>
          </w:tcPr>
          <w:p w14:paraId="43893D4F" w14:textId="77777777" w:rsidR="008D548F" w:rsidRPr="008D548F" w:rsidRDefault="008D548F" w:rsidP="005811C8">
            <w:pPr>
              <w:spacing w:after="0" w:line="240" w:lineRule="auto"/>
              <w:jc w:val="center"/>
              <w:rPr>
                <w:rFonts w:ascii="Cambria" w:eastAsia="Cambria" w:hAnsi="Cambria" w:cs="Cambria"/>
                <w:b/>
                <w:bCs/>
                <w:sz w:val="24"/>
                <w:szCs w:val="24"/>
                <w:lang w:val="id"/>
              </w:rPr>
            </w:pPr>
            <w:r w:rsidRPr="008D548F">
              <w:rPr>
                <w:rFonts w:ascii="Cambria" w:eastAsia="Cambria" w:hAnsi="Cambria" w:cs="Cambria"/>
                <w:b/>
                <w:bCs/>
                <w:i/>
                <w:iCs/>
                <w:sz w:val="24"/>
                <w:szCs w:val="24"/>
                <w:lang w:val="id"/>
              </w:rPr>
              <w:t xml:space="preserve">Pengudusan Alkitab </w:t>
            </w:r>
            <w:r w:rsidRPr="008D548F">
              <w:rPr>
                <w:rFonts w:ascii="Cambria" w:eastAsia="Cambria" w:hAnsi="Cambria" w:cs="Cambria"/>
                <w:b/>
                <w:bCs/>
                <w:sz w:val="24"/>
                <w:szCs w:val="24"/>
                <w:lang w:val="id"/>
              </w:rPr>
              <w:t>(1882)</w:t>
            </w:r>
          </w:p>
        </w:tc>
        <w:tc>
          <w:tcPr>
            <w:tcW w:w="3782" w:type="dxa"/>
            <w:tcBorders>
              <w:top w:val="nil"/>
              <w:bottom w:val="single" w:sz="4" w:space="0" w:color="auto"/>
            </w:tcBorders>
            <w:vAlign w:val="center"/>
          </w:tcPr>
          <w:p w14:paraId="0301CF21" w14:textId="77777777" w:rsidR="008D548F" w:rsidRPr="008D548F" w:rsidRDefault="008D548F" w:rsidP="005811C8">
            <w:pPr>
              <w:spacing w:after="0" w:line="240" w:lineRule="auto"/>
              <w:jc w:val="center"/>
              <w:rPr>
                <w:rFonts w:ascii="Cambria" w:eastAsia="Cambria" w:hAnsi="Cambria" w:cs="Cambria"/>
                <w:b/>
                <w:bCs/>
                <w:sz w:val="24"/>
                <w:szCs w:val="24"/>
                <w:lang w:val="id"/>
              </w:rPr>
            </w:pPr>
            <w:r w:rsidRPr="008D548F">
              <w:rPr>
                <w:rFonts w:ascii="Cambria" w:eastAsia="Cambria" w:hAnsi="Cambria" w:cs="Cambria"/>
                <w:b/>
                <w:bCs/>
                <w:i/>
                <w:iCs/>
                <w:sz w:val="24"/>
                <w:szCs w:val="24"/>
                <w:lang w:val="id"/>
              </w:rPr>
              <w:t xml:space="preserve">Langkah-langkah Menuju Kristus </w:t>
            </w:r>
            <w:r w:rsidRPr="008D548F">
              <w:rPr>
                <w:rFonts w:ascii="Cambria" w:eastAsia="Cambria" w:hAnsi="Cambria" w:cs="Cambria"/>
                <w:b/>
                <w:bCs/>
                <w:sz w:val="24"/>
                <w:szCs w:val="24"/>
                <w:lang w:val="id"/>
              </w:rPr>
              <w:t>(1892)</w:t>
            </w:r>
          </w:p>
        </w:tc>
      </w:tr>
      <w:tr w:rsidR="008D548F" w:rsidRPr="008D548F" w14:paraId="44D0C417" w14:textId="77777777" w:rsidTr="007B5DA0">
        <w:trPr>
          <w:tblCellSpacing w:w="15" w:type="dxa"/>
        </w:trPr>
        <w:tc>
          <w:tcPr>
            <w:tcW w:w="1616" w:type="dxa"/>
            <w:vAlign w:val="center"/>
          </w:tcPr>
          <w:p w14:paraId="2F9DBD6D"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bCs/>
                <w:sz w:val="24"/>
                <w:szCs w:val="24"/>
                <w:lang w:val="id"/>
              </w:rPr>
              <w:t>Fokus Utama</w:t>
            </w:r>
          </w:p>
        </w:tc>
        <w:tc>
          <w:tcPr>
            <w:tcW w:w="2987" w:type="dxa"/>
            <w:vAlign w:val="center"/>
          </w:tcPr>
          <w:p w14:paraId="5178D630"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Menjelaskan makna pengudusan dan peran hukum dalam proses tersebut.</w:t>
            </w:r>
          </w:p>
        </w:tc>
        <w:tc>
          <w:tcPr>
            <w:tcW w:w="3782" w:type="dxa"/>
            <w:vAlign w:val="center"/>
          </w:tcPr>
          <w:p w14:paraId="23BDD63E"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Menekankan pengalaman pribadi tentang pertobatan dan iman.</w:t>
            </w:r>
          </w:p>
        </w:tc>
      </w:tr>
      <w:tr w:rsidR="008D548F" w:rsidRPr="008D548F" w14:paraId="6C646405" w14:textId="77777777" w:rsidTr="007B5DA0">
        <w:trPr>
          <w:tblCellSpacing w:w="15" w:type="dxa"/>
        </w:trPr>
        <w:tc>
          <w:tcPr>
            <w:tcW w:w="1616" w:type="dxa"/>
            <w:vAlign w:val="center"/>
          </w:tcPr>
          <w:p w14:paraId="17FF8FB5"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bCs/>
                <w:sz w:val="24"/>
                <w:szCs w:val="24"/>
                <w:lang w:val="id"/>
              </w:rPr>
              <w:t>Nada Penulisan</w:t>
            </w:r>
          </w:p>
        </w:tc>
        <w:tc>
          <w:tcPr>
            <w:tcW w:w="2987"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57"/>
            </w:tblGrid>
            <w:tr w:rsidR="008D548F" w:rsidRPr="008D548F" w14:paraId="15B674EE" w14:textId="77777777" w:rsidTr="007B5DA0">
              <w:trPr>
                <w:tblCellSpacing w:w="15" w:type="dxa"/>
              </w:trPr>
              <w:tc>
                <w:tcPr>
                  <w:tcW w:w="0" w:type="auto"/>
                  <w:vAlign w:val="center"/>
                  <w:hideMark/>
                </w:tcPr>
                <w:p w14:paraId="2FCE3AE7"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Bersifat didaktik, defensif, dan asertif.</w:t>
                  </w:r>
                </w:p>
              </w:tc>
            </w:tr>
          </w:tbl>
          <w:p w14:paraId="13B08D1B" w14:textId="77777777" w:rsidR="008D548F" w:rsidRPr="008D548F" w:rsidRDefault="008D548F" w:rsidP="005811C8">
            <w:pPr>
              <w:spacing w:after="0" w:line="240" w:lineRule="auto"/>
              <w:jc w:val="both"/>
              <w:rPr>
                <w:rFonts w:ascii="Cambria" w:eastAsia="Cambria" w:hAnsi="Cambria" w:cs="Cambria"/>
                <w:sz w:val="24"/>
                <w:szCs w:val="24"/>
                <w:lang w:val="id"/>
              </w:rPr>
            </w:pPr>
          </w:p>
        </w:tc>
        <w:tc>
          <w:tcPr>
            <w:tcW w:w="3782" w:type="dxa"/>
            <w:vAlign w:val="center"/>
          </w:tcPr>
          <w:p w14:paraId="7721F296"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Bernuansa pastoral, hangat, dan mengundang.</w:t>
            </w:r>
          </w:p>
        </w:tc>
      </w:tr>
      <w:tr w:rsidR="008D548F" w:rsidRPr="008D548F" w14:paraId="5B4599FE" w14:textId="77777777" w:rsidTr="007B5DA0">
        <w:trPr>
          <w:tblCellSpacing w:w="15" w:type="dxa"/>
        </w:trPr>
        <w:tc>
          <w:tcPr>
            <w:tcW w:w="1616" w:type="dxa"/>
            <w:vAlign w:val="center"/>
          </w:tcPr>
          <w:p w14:paraId="625DF3A6"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bCs/>
                <w:sz w:val="24"/>
                <w:szCs w:val="24"/>
                <w:lang w:val="id"/>
              </w:rPr>
              <w:t>Peran Hukum</w:t>
            </w:r>
          </w:p>
        </w:tc>
        <w:tc>
          <w:tcPr>
            <w:tcW w:w="2987" w:type="dxa"/>
            <w:vAlign w:val="center"/>
          </w:tcPr>
          <w:p w14:paraId="49590D6F"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Disorot sebagai tolok ukur kesucian.</w:t>
            </w:r>
          </w:p>
        </w:tc>
        <w:tc>
          <w:tcPr>
            <w:tcW w:w="3782" w:type="dxa"/>
            <w:vAlign w:val="center"/>
          </w:tcPr>
          <w:p w14:paraId="786524E7"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Dilihat sebagai cerminan yang mengungkap dosa</w:t>
            </w:r>
          </w:p>
        </w:tc>
      </w:tr>
      <w:tr w:rsidR="008D548F" w:rsidRPr="008D548F" w14:paraId="17429E65" w14:textId="77777777" w:rsidTr="007B5DA0">
        <w:trPr>
          <w:tblCellSpacing w:w="15" w:type="dxa"/>
        </w:trPr>
        <w:tc>
          <w:tcPr>
            <w:tcW w:w="1616" w:type="dxa"/>
            <w:vAlign w:val="center"/>
          </w:tcPr>
          <w:p w14:paraId="18318AA7"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bCs/>
                <w:sz w:val="24"/>
                <w:szCs w:val="24"/>
                <w:lang w:val="id"/>
              </w:rPr>
              <w:t>Inisiatif Keselamatan</w:t>
            </w:r>
          </w:p>
        </w:tc>
        <w:tc>
          <w:tcPr>
            <w:tcW w:w="2987" w:type="dxa"/>
            <w:vAlign w:val="center"/>
          </w:tcPr>
          <w:p w14:paraId="3FA0F94B"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Memberikan penekanan yang lebih kuat pada respons manusia.</w:t>
            </w:r>
          </w:p>
        </w:tc>
        <w:tc>
          <w:tcPr>
            <w:tcW w:w="3782" w:type="dxa"/>
            <w:vAlign w:val="center"/>
          </w:tcPr>
          <w:p w14:paraId="1D8876CF"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Keseimbangan antara inisiatif ilahi dan respons manusia</w:t>
            </w:r>
          </w:p>
        </w:tc>
      </w:tr>
      <w:tr w:rsidR="008D548F" w:rsidRPr="008D548F" w14:paraId="77279404" w14:textId="77777777" w:rsidTr="007B5DA0">
        <w:trPr>
          <w:tblCellSpacing w:w="15" w:type="dxa"/>
        </w:trPr>
        <w:tc>
          <w:tcPr>
            <w:tcW w:w="1616" w:type="dxa"/>
            <w:vAlign w:val="center"/>
          </w:tcPr>
          <w:p w14:paraId="71C34F32"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bCs/>
                <w:sz w:val="24"/>
                <w:szCs w:val="24"/>
                <w:lang w:val="id"/>
              </w:rPr>
              <w:t>Dasar-Dasar Jaminan Keselamatan</w:t>
            </w:r>
          </w:p>
        </w:tc>
        <w:tc>
          <w:tcPr>
            <w:tcW w:w="2987" w:type="dxa"/>
            <w:vAlign w:val="center"/>
          </w:tcPr>
          <w:p w14:paraId="6CC22E71"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Berlandaskan janji-janji Tuhan dan bukti kehidupan yang telah diubahkan.</w:t>
            </w:r>
          </w:p>
        </w:tc>
        <w:tc>
          <w:tcPr>
            <w:tcW w:w="3782" w:type="dxa"/>
            <w:vAlign w:val="center"/>
          </w:tcPr>
          <w:p w14:paraId="707C99DD" w14:textId="77777777" w:rsidR="008D548F" w:rsidRPr="008D548F" w:rsidRDefault="008D548F" w:rsidP="005811C8">
            <w:pPr>
              <w:spacing w:after="0" w:line="240" w:lineRule="auto"/>
              <w:jc w:val="both"/>
              <w:rPr>
                <w:rFonts w:ascii="Cambria" w:eastAsia="Cambria" w:hAnsi="Cambria" w:cs="Cambria"/>
                <w:sz w:val="24"/>
                <w:szCs w:val="24"/>
                <w:lang w:val="id"/>
              </w:rPr>
            </w:pPr>
            <w:r w:rsidRPr="008D548F">
              <w:rPr>
                <w:rFonts w:ascii="Cambria" w:eastAsia="Cambria" w:hAnsi="Cambria" w:cs="Cambria"/>
                <w:sz w:val="24"/>
                <w:szCs w:val="24"/>
                <w:lang w:val="id"/>
              </w:rPr>
              <w:t>Berakar pada hubungan yang berkelanjutan dan hidup, yaitu tinggal di dalam Kristus.</w:t>
            </w:r>
          </w:p>
        </w:tc>
      </w:tr>
    </w:tbl>
    <w:p w14:paraId="2343E8E3"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lastRenderedPageBreak/>
        <w:t>Fokus White dalam Pengudusan Alkitab pada hukum sebagai tolok ukur kekudusan dan bukti empiris pengudusan berfungsi sebagai argumen tandingan penting terhadap kekeliruan modern antinomianisme dan pernyataan kesempurnaan instan. Langkah-langkah Menuju Kristus, di sisi lain, menekankan perjumpaan hubungan dengan Kristus sebagai pusat penting dari proses penebusan dalam nada pastoral yang lebih lembut. Alih-alih menyimpang dari doktrin inti, perubahan dalam penyajian ini merupakan respons komunikatif strategis terhadap kebutuhan spiritual komunitas yang berubah. Sepanjang kedua karya tersebut, White mempertahankan keyakinan teologis bahwa keselamatan adalah anugerah yang tidak layak diterima dan ketaatan tetap merupakan buah yang esensial dan tak terpisahkan dari iman yang hidup.</w:t>
      </w:r>
      <w:r w:rsidRPr="008D548F">
        <w:rPr>
          <w:rFonts w:ascii="Cambria" w:eastAsia="Cambria" w:hAnsi="Cambria" w:cs="Cambria"/>
          <w:sz w:val="24"/>
          <w:szCs w:val="24"/>
          <w:vertAlign w:val="superscript"/>
          <w:lang w:val="id"/>
        </w:rPr>
        <w:footnoteReference w:id="47"/>
      </w:r>
    </w:p>
    <w:p w14:paraId="7F4A19A3"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Hal ini sekali lagi menggambarkan pemahaman dinamis White tentang keselamatan yang memandang pengudusan sebagai proses perubahan yang berkelanjutan dan pembenaran sebagai tindakan supernatural yang seketika. Dengan satu buku yang mendukung dasar normatif dan buku lain yang mengarahkan pengalaman eksistensial orang percaya, kedua jilid tersebut membentuk keseluruhan teologis yang kohesif.</w:t>
      </w:r>
    </w:p>
    <w:p w14:paraId="58C685DD" w14:textId="77777777" w:rsidR="008D548F" w:rsidRPr="008D548F" w:rsidRDefault="008D548F" w:rsidP="005811C8">
      <w:pPr>
        <w:numPr>
          <w:ilvl w:val="0"/>
          <w:numId w:val="5"/>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Dampak Konferensi 1888</w:t>
      </w:r>
    </w:p>
    <w:p w14:paraId="530A4EA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Sebagai momen penting dalam sejarah Advent, Konferensi Minneapolis tahun 1888 memusatkan kembali gagasan pembenaran melalui iman, secara radikal mengubah arah teologis denominasi tersebut. Perubahan ini mengarah pada pemahaman yang lebih komprehensif tentang keselamatan dan sangat memperluas pemahaman gereja tentang peran utama Kristus dalam proses penebusan. Nada yang canggih dalam buku Steps to Christ, di mana Kristus digambarkan dalam cahaya yang sangat intim dan relasional, mencerminkan fokus utama konferensi pada hubungan langsung orang percaya dengan Juruselamat dan menunjukkan warisan abadi dari pertemuan tersebut.</w:t>
      </w:r>
    </w:p>
    <w:p w14:paraId="4D78D8BA"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Sebelum tahun 1888, aktivitas Kristus sebagai imam besar di tempat kudus surgawi dan mekanisme penghakiman merupakan topik utama diskusi dalam debat teologis yang dominan. Namun setelah pertemuan tersebut, narasi berubah untuk menyoroti Kristus sebagai sahabat yang baik bagi orang berdosa dan Juruselamat yang membenarkan. Gagasan penghakiman tidak dihilangkan oleh evolusi ini; sebaliknya, gagasan itu ditempatkan dalam kerangka kasih karunia yang kuat. White berperan sebagai penghubung teologis yang krusial sepanjang pergeseran ini, menunjukkan bahwa penghakiman ilahi adalah "kabar baik" berdasarkan efektivitas karya penebusan Kristus.</w:t>
      </w:r>
    </w:p>
    <w:p w14:paraId="301F32E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Pada akhirnya, Steps to Christ adalah intisari pastoral dari pesan tahun 1888, yang menunjukkan bahwa teologi White telah semakin mendalam daripada berubah. Penekanan yang lebih besar pada kasih ilahi berhasil "menghangatkan" sudut </w:t>
      </w:r>
      <w:r w:rsidRPr="008D548F">
        <w:rPr>
          <w:rFonts w:ascii="Cambria" w:eastAsia="Cambria" w:hAnsi="Cambria" w:cs="Cambria"/>
          <w:sz w:val="24"/>
          <w:szCs w:val="24"/>
          <w:lang w:val="id"/>
        </w:rPr>
        <w:lastRenderedPageBreak/>
        <w:t>pandangnya, menunjukkan kematangan teologis yang mendalam yang menyeimbangkan kebenaran doktrinal objektif dengan perawatan pastoral yang penuh pertimbangan. Dengan menggabungkan komponen-komponen ini, karya ini menawarkan contoh bagaimana teologi yang ketat dapat diubah menjadi pengalaman yang bermanfaat dan memberi kehidupan yang memenuhi kebutuhan spiritual setiap orang.</w:t>
      </w:r>
    </w:p>
    <w:p w14:paraId="37F0D83B" w14:textId="77777777" w:rsidR="008D548F" w:rsidRPr="008D548F" w:rsidRDefault="008D548F" w:rsidP="005811C8">
      <w:pPr>
        <w:numPr>
          <w:ilvl w:val="0"/>
          <w:numId w:val="5"/>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Soteriologi Adventis: Anugerah dan Hukum</w:t>
      </w:r>
    </w:p>
    <w:p w14:paraId="2DA42321"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Sintesis harmonis White antara hukum dan kasih karunia, yang melampaui kontradiksi dialektis antara gagasan-gagasan ini yang terkadang terlihat dalam banyak tradisi Protestan, adalah salah satu pencapaian terpentingnya. Ia menolak gagasan bahwa hukum tidak lagi relevan dengan kehidupan orang percaya, meskipun ia dengan tegas mengakui bahwa hukum tidak memiliki kemampuan untuk menyelamatkan. Menurut White, penebusan dicirikan sebagai proses pemulihan di mana karakter ilahi itu direplikasi di dalam diri manusia karena hukum pada dasarnya dipandang sebagai transkrip dari karakter Allah sendiri. Ia menggabungkan ketaatan dan kasih karunia ke dalam satu visi regenerasi spiritual yang koheren dengan membingkai hukum sebagai cermin kasih, bukan hanya sekumpulan persyaratan hukum.</w:t>
      </w:r>
      <w:r w:rsidRPr="008D548F">
        <w:rPr>
          <w:rFonts w:ascii="Cambria" w:eastAsia="Cambria" w:hAnsi="Cambria" w:cs="Cambria"/>
          <w:sz w:val="24"/>
          <w:szCs w:val="24"/>
          <w:vertAlign w:val="superscript"/>
          <w:lang w:val="id"/>
        </w:rPr>
        <w:footnoteReference w:id="48"/>
      </w:r>
    </w:p>
    <w:p w14:paraId="0CE47EB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Menurut perspektif teologis ini, ketaatan ditafsirkan ulang sebagai reaksi yang penuh kasih dan impulsif terhadap pengalaman kasih karunia, bukan sebagai cara praktis untuk memperoleh keselamatan. Dengan menempatkan perilaku moral di dalam keamanan hubungan perjanjian, orang percaya terinspirasi untuk mengikuti hukum bukan karena ketakutan legalistik akan hukuman, melainkan karena kasih yang mendalam kepada Allah yang telah menebus mereka. Akibatnya, hukum memiliki dua fungsi, yaitu sebagai cermin yang menunjukkan kebenaran dosa dan sebagai peta jalan yang mengarahkan orang percaya ke arah kehidupan kudus, seperti jalan yang hanya dimungkinkan oleh kuasa Roh Kudus.</w:t>
      </w:r>
      <w:r w:rsidRPr="008D548F">
        <w:rPr>
          <w:rFonts w:ascii="Cambria" w:eastAsia="Cambria" w:hAnsi="Cambria" w:cs="Cambria"/>
          <w:sz w:val="24"/>
          <w:szCs w:val="24"/>
          <w:vertAlign w:val="superscript"/>
          <w:lang w:val="id"/>
        </w:rPr>
        <w:footnoteReference w:id="49"/>
      </w:r>
    </w:p>
    <w:p w14:paraId="34DDB7C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Soteriologi Adventis dicirikan oleh sintesis ini, yaitu keselamatan melalui iman yang mengarah pada ketaatan kepada semua perintah Allah. Metode ini menawarkan landasan etika yang kuat untuk praktik Kristen sambil tetap menjaga keselarasan doktrinal.</w:t>
      </w:r>
    </w:p>
    <w:p w14:paraId="38E10957" w14:textId="77777777" w:rsidR="008D548F" w:rsidRPr="008D548F" w:rsidRDefault="008D548F" w:rsidP="005811C8">
      <w:pPr>
        <w:numPr>
          <w:ilvl w:val="0"/>
          <w:numId w:val="5"/>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Antropologi Teologis</w:t>
      </w:r>
    </w:p>
    <w:p w14:paraId="2C302E9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Konsepsi White tentang kodrat manusia menyeimbangkan antara pertanggungjawaban manusia dan kedaulatan ilahi. Ia menentang optimisme antropologis, yang menganggap manusia sebagai penyelamat diri sendiri , dan determinisme total yang menghilangkan reaksi manusia. Manusia digambarkan sebagai makhluk yang dirusak oleh dosa namun memiliki kemampuan untuk menanggapi rahmat Tuhan.</w:t>
      </w:r>
      <w:r w:rsidRPr="008D548F">
        <w:rPr>
          <w:rFonts w:ascii="Cambria" w:eastAsia="Cambria" w:hAnsi="Cambria" w:cs="Cambria"/>
          <w:sz w:val="24"/>
          <w:szCs w:val="24"/>
          <w:vertAlign w:val="superscript"/>
          <w:lang w:val="id"/>
        </w:rPr>
        <w:footnoteReference w:id="50"/>
      </w:r>
    </w:p>
    <w:p w14:paraId="4F78247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lastRenderedPageBreak/>
        <w:t>Menurut White, kehendak manusia adalah titik krusial di mana reaksi manusia dan inisiatif ilahi bertemu, yang menyiratkan bahwa sementara Roh Kudus menggerakkan hati, seseorang harus dengan sengaja memutuskan untuk tetap terbuka terhadap aktivitas. Pertukaran ini digambarkan sebagai teka-teki relasional yang mewakili karakter non-koersif dari kasih ilahi yang menghormati kebebasan bertindak manusia bahkan sepanjang proses penyembuhan, bukan sebagai kontradiksi logis. Dengan demikian, keselamatan disajikan sebagai sinergi ilahi-manusia di mana rahmat selalu datang sebelum dan memungkinkan respons iman, menjamin bahwa kemitraan bukanlah soal jasa manusia atau pengelakan kebebasan individu.</w:t>
      </w:r>
      <w:r w:rsidRPr="008D548F">
        <w:rPr>
          <w:rFonts w:ascii="Cambria" w:eastAsia="Cambria" w:hAnsi="Cambria" w:cs="Cambria"/>
          <w:sz w:val="24"/>
          <w:szCs w:val="24"/>
          <w:vertAlign w:val="superscript"/>
          <w:lang w:val="id"/>
        </w:rPr>
        <w:footnoteReference w:id="51"/>
      </w:r>
    </w:p>
    <w:p w14:paraId="4F1C636A"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Pendekatan antropologis ini memiliki implikasi pastoral yang signifikan. Karena Tuhan adalah sumber kekuatan transformatif, pendekatan ini menegakkan kewajiban moral manusia tanpa menimbulkan keputusasaan. Umat Kristen diharapkan untuk memilih Kristus setiap hari agar tetap berada dalam hubungan yang menyelamatkan, bukan untuk memulihkan keselamatan.</w:t>
      </w:r>
      <w:r w:rsidRPr="008D548F">
        <w:rPr>
          <w:rFonts w:ascii="Cambria" w:eastAsia="Cambria" w:hAnsi="Cambria" w:cs="Cambria"/>
          <w:sz w:val="24"/>
          <w:szCs w:val="24"/>
          <w:vertAlign w:val="superscript"/>
          <w:lang w:val="id"/>
        </w:rPr>
        <w:footnoteReference w:id="52"/>
      </w:r>
    </w:p>
    <w:p w14:paraId="0F1EC675" w14:textId="77777777" w:rsidR="008D548F" w:rsidRPr="008D548F" w:rsidRDefault="008D548F" w:rsidP="005811C8">
      <w:pPr>
        <w:numPr>
          <w:ilvl w:val="0"/>
          <w:numId w:val="5"/>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Eskatologi dan Keselamatan</w:t>
      </w:r>
    </w:p>
    <w:p w14:paraId="2AB02E07"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Dalam kerangka teologis Ellen G. White, pengalaman keselamatan terkait erat dengan visi eskatologis di mana pengudusan berfungsi sebagai persiapan untuk kehidupan kekal di hadapan Allah. Perspektif ini mencerminkan ketegangan antara dimensi "sudah" dan "belum" penebusan, di mana orang percaya sudah dibenarkan tetapi terus melanjutkan proses pengudusan sambil menantikan pemuliaan akhir. Dalam kerangka ini, pertumbuhan rohani sehari-hari diberi makna eskatologis karena tetap berorientasi pada pemulihan persekutuan dengan Allah pada akhirnya .</w:t>
      </w:r>
      <w:r w:rsidRPr="008D548F">
        <w:rPr>
          <w:rFonts w:ascii="Cambria" w:eastAsia="Cambria" w:hAnsi="Cambria" w:cs="Cambria"/>
          <w:sz w:val="24"/>
          <w:szCs w:val="24"/>
          <w:vertAlign w:val="superscript"/>
          <w:lang w:val="id"/>
        </w:rPr>
        <w:footnoteReference w:id="53"/>
      </w:r>
    </w:p>
    <w:p w14:paraId="43E28CDF"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Pemahaman ini berkaitan erat dengan doktrin tempat kudus surgawi dan pelayanan perantaraan Kristus. Keselamatan disajikan sebagai proses berkelanjutan, bukan sebagai peristiwa masa lalu yang telah selesai, dengan peran Kristus sebagai Imam Besar menekankan penerapan berkelanjutan-Nya atas manfaat karya penebusan-Nya. Oleh karena itu, motif tempat kudus menyoroti keselamatan sebagai realitas perantaraan yang hadir dan hidup, di mana kedudukan orang percaya di hadapan Allah dipertahankan melalui pelayanan Kristus yang berkelanjutan. Dalam kerangka eskatologis ini, pengudusan juga mencakup dimensi etis dan kosmik. Pengembangan karakter bukan hanya persyaratan moral tetapi juga persiapan untuk hidup selaras dengan kekudusan </w:t>
      </w:r>
      <w:r w:rsidRPr="008D548F">
        <w:rPr>
          <w:rFonts w:ascii="Cambria" w:eastAsia="Cambria" w:hAnsi="Cambria" w:cs="Cambria"/>
          <w:sz w:val="24"/>
          <w:szCs w:val="24"/>
          <w:lang w:val="id"/>
        </w:rPr>
        <w:lastRenderedPageBreak/>
        <w:t>Allah. Surga dengan demikian dipahami bukan hanya sebagai tempat, tetapi sebagai kondisi keselarasan sempurna dengan sifat ilahi.</w:t>
      </w:r>
      <w:r w:rsidRPr="008D548F">
        <w:rPr>
          <w:rFonts w:ascii="Cambria" w:eastAsia="Cambria" w:hAnsi="Cambria" w:cs="Cambria"/>
          <w:sz w:val="24"/>
          <w:szCs w:val="24"/>
          <w:vertAlign w:val="superscript"/>
          <w:lang w:val="id"/>
        </w:rPr>
        <w:footnoteReference w:id="54"/>
      </w:r>
    </w:p>
    <w:p w14:paraId="6543280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p>
    <w:p w14:paraId="5C641073" w14:textId="77777777" w:rsidR="008D548F" w:rsidRPr="008D548F" w:rsidRDefault="008D548F" w:rsidP="008D548F">
      <w:pPr>
        <w:spacing w:after="0" w:line="300" w:lineRule="auto"/>
        <w:jc w:val="both"/>
        <w:rPr>
          <w:rFonts w:ascii="Cambria" w:eastAsia="Cambria" w:hAnsi="Cambria" w:cs="Cambria"/>
          <w:b/>
          <w:bCs/>
          <w:i/>
          <w:sz w:val="24"/>
          <w:szCs w:val="24"/>
          <w:lang w:val="id"/>
        </w:rPr>
      </w:pPr>
      <w:r w:rsidRPr="008D548F">
        <w:rPr>
          <w:rFonts w:ascii="Cambria" w:eastAsia="Cambria" w:hAnsi="Cambria" w:cs="Cambria"/>
          <w:b/>
          <w:bCs/>
          <w:i/>
          <w:sz w:val="24"/>
          <w:szCs w:val="24"/>
          <w:lang w:val="id"/>
        </w:rPr>
        <w:t>Implikasi bagi Adventisme Kontemporer</w:t>
      </w:r>
    </w:p>
    <w:p w14:paraId="4A734353" w14:textId="77777777" w:rsidR="008D548F" w:rsidRPr="008D548F" w:rsidRDefault="008D548F" w:rsidP="005811C8">
      <w:pPr>
        <w:numPr>
          <w:ilvl w:val="0"/>
          <w:numId w:val="6"/>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Relevansi dengan Identitas Gereja</w:t>
      </w:r>
    </w:p>
    <w:p w14:paraId="42EA9A19"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Identitas doktrinal Gereja Advent Hari Ketujuh di zaman modern sangat dipengaruhi oleh kesimpulan penelitian ini. Gereja sering bergumul dengan dikotomi yang keliru: apakah Adventisme adalah gereja kasih karunia atau gereja hukum. Pertanyaan ini bersifat reduksionis menurut kajian paradigma soteriologis Ellen G. White. Menurut pandangannya, penebusan adalah karunia Allah yang menghasilkan ketaatan sebagai hasil dari pengembangan karakter, di mana kasih karunia dan hukum ada dalam hubungan perjanjian yang dinamis, bukan sebagai hal yang berlawanan.</w:t>
      </w:r>
    </w:p>
    <w:p w14:paraId="3D268DD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Kesinambungan antara Steps to Christ (1892) dan Bible Sanctification (1882) menunjukkan bahwa White secara konsisten menempatkan ketaatan moral dalam hubungan dengan Kristus. </w:t>
      </w:r>
      <w:r w:rsidRPr="008D548F">
        <w:rPr>
          <w:rFonts w:ascii="Cambria" w:eastAsia="Cambria" w:hAnsi="Cambria" w:cs="Cambria"/>
          <w:sz w:val="24"/>
          <w:szCs w:val="24"/>
          <w:vertAlign w:val="superscript"/>
          <w:lang w:val="id"/>
        </w:rPr>
        <w:footnoteReference w:id="55"/>
      </w:r>
      <w:r w:rsidRPr="008D548F">
        <w:rPr>
          <w:rFonts w:ascii="Cambria" w:eastAsia="Cambria" w:hAnsi="Cambria" w:cs="Cambria"/>
          <w:sz w:val="24"/>
          <w:szCs w:val="24"/>
          <w:lang w:val="id"/>
        </w:rPr>
        <w:t>Pemahaman Adventis tentang perjanjian sebagai sesuatu yang tanpa syarat (inisiatif ilahi) dan bersyarat (respons iman manusia) selaras dengan kerangka kerja ini. Oleh karena itu, identitas Adventis didasarkan pada teologi perjanjian yang menjunjung tinggi pembenaran melalui iman dan pengudusan sebagai karya Roh Kudus, bukan legalisme. Pemahaman ini membantu gereja menghindari osilasi antara antinomianisme dan legalisme. Sintesis White menyajikan penebusan sebagai pemulihan karakter Allah dalam umat manusia melalui persatuan dengan Kristus, sementara hukum mencerminkan karakter tersebut. Hal ini memperkuat identitas Adventis sebagai sesuatu yang berpusat pada Kristus dan berlandaskan Alkitab.</w:t>
      </w:r>
    </w:p>
    <w:p w14:paraId="0B1C6C5E" w14:textId="77777777" w:rsidR="008D548F" w:rsidRPr="008D548F" w:rsidRDefault="008D548F" w:rsidP="005811C8">
      <w:pPr>
        <w:numPr>
          <w:ilvl w:val="0"/>
          <w:numId w:val="6"/>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Spiritualitas dan Disiplin Spiritual</w:t>
      </w:r>
    </w:p>
    <w:p w14:paraId="5C75FDE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Langkah-langkah Menuju Kristus (1892) tetap menjadi landasan utama spiritualitas Advent karena mengintegrasikan soteriologi dengan kehidupan Kristen praktis. White menyajikan keselamatan sebagai hubungan hidup dengan Kristus yang harus dipelihara melalui doa, studi Alkitab, dan persekutuan, yang berfungsi sebagai saluran kasih karunia. Praktik-praktik ini dipahami bukan sebagai persyaratan legalistik tetapi sebagai sarana untuk "tinggal di dalam Kristus," mempertahankan hubungan yang berkelanjutan dengan Tuhan. Hal ini menggeser penekanan dari agama berbasis jasa kepada kehidupan kasih karunia yang berkelanjutan.</w:t>
      </w:r>
      <w:r w:rsidRPr="008D548F">
        <w:rPr>
          <w:rFonts w:ascii="Cambria" w:eastAsia="Cambria" w:hAnsi="Cambria" w:cs="Cambria"/>
          <w:sz w:val="24"/>
          <w:szCs w:val="24"/>
          <w:vertAlign w:val="superscript"/>
          <w:lang w:val="id"/>
        </w:rPr>
        <w:footnoteReference w:id="56"/>
      </w:r>
      <w:r w:rsidRPr="008D548F">
        <w:rPr>
          <w:rFonts w:ascii="Cambria" w:eastAsia="Cambria" w:hAnsi="Cambria" w:cs="Cambria"/>
          <w:sz w:val="24"/>
          <w:szCs w:val="24"/>
          <w:lang w:val="id"/>
        </w:rPr>
        <w:t xml:space="preserve"> </w:t>
      </w:r>
    </w:p>
    <w:p w14:paraId="359A8A1E" w14:textId="448B262B"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Penekanan White pada pertumbuhan spiritual yang berkelanjutan juga memberikan koreksi pastoral dalam konteks di mana kehidupan keagamaan menjadi berpusat pada program . Pengembangan karakter dipahami sebagai proses organik yang mungkin tidak selalu langsung terlihat tetapi diungkapkan melalui kehidupan yang </w:t>
      </w:r>
      <w:r w:rsidRPr="008D548F">
        <w:rPr>
          <w:rFonts w:ascii="Cambria" w:eastAsia="Cambria" w:hAnsi="Cambria" w:cs="Cambria"/>
          <w:sz w:val="24"/>
          <w:szCs w:val="24"/>
          <w:lang w:val="id"/>
        </w:rPr>
        <w:lastRenderedPageBreak/>
        <w:t>diubah.</w:t>
      </w:r>
      <w:r w:rsidRPr="008D548F">
        <w:rPr>
          <w:rFonts w:ascii="Cambria" w:eastAsia="Cambria" w:hAnsi="Cambria" w:cs="Cambria"/>
          <w:sz w:val="24"/>
          <w:szCs w:val="24"/>
          <w:vertAlign w:val="superscript"/>
          <w:lang w:val="id"/>
        </w:rPr>
        <w:footnoteReference w:id="57"/>
      </w:r>
      <w:r w:rsidR="005811C8">
        <w:rPr>
          <w:rFonts w:ascii="Cambria" w:eastAsia="Cambria" w:hAnsi="Cambria" w:cs="Cambria"/>
          <w:sz w:val="24"/>
          <w:szCs w:val="24"/>
        </w:rPr>
        <w:t xml:space="preserve"> </w:t>
      </w:r>
      <w:r w:rsidRPr="008D548F">
        <w:rPr>
          <w:rFonts w:ascii="Cambria" w:eastAsia="Cambria" w:hAnsi="Cambria" w:cs="Cambria"/>
          <w:sz w:val="24"/>
          <w:szCs w:val="24"/>
          <w:lang w:val="id"/>
        </w:rPr>
        <w:t>Lebih lanjut, keselamatan dibingkai sebagai pemulihan citra Allah dalam diri manusia, yang melibatkan dimensi spiritual, moral, dan sosial, menjadikan spiritualitas Adventis holistik dan transformatif.</w:t>
      </w:r>
      <w:r w:rsidRPr="008D548F">
        <w:rPr>
          <w:rFonts w:ascii="Cambria" w:eastAsia="Cambria" w:hAnsi="Cambria" w:cs="Cambria"/>
          <w:sz w:val="24"/>
          <w:szCs w:val="24"/>
          <w:vertAlign w:val="superscript"/>
          <w:lang w:val="id"/>
        </w:rPr>
        <w:footnoteReference w:id="58"/>
      </w:r>
    </w:p>
    <w:p w14:paraId="04B17CC4" w14:textId="77777777" w:rsidR="008D548F" w:rsidRPr="008D548F" w:rsidRDefault="008D548F" w:rsidP="005811C8">
      <w:pPr>
        <w:numPr>
          <w:ilvl w:val="0"/>
          <w:numId w:val="6"/>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Dialog Ekumenis</w:t>
      </w:r>
    </w:p>
    <w:p w14:paraId="280C12D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Pemahaman yang lebih jelas tentang soteriologi White memungkinkan dialog yang lebih konstruktif dengan tradisi Kristen lainnya. Secara historis, Adventisme terkadang dianggap legalistik, tetapi tulisan-tulisan White menegaskan pembenaran melalui iman yang selaras dengan tradisi Reformasi sambil mempertahankan signifikansi moral hukum Allah.</w:t>
      </w:r>
      <w:r w:rsidRPr="008D548F">
        <w:rPr>
          <w:rFonts w:ascii="Cambria" w:eastAsia="Cambria" w:hAnsi="Cambria" w:cs="Cambria"/>
          <w:sz w:val="24"/>
          <w:szCs w:val="24"/>
          <w:vertAlign w:val="superscript"/>
          <w:lang w:val="id"/>
        </w:rPr>
        <w:footnoteReference w:id="59"/>
      </w:r>
    </w:p>
    <w:p w14:paraId="723B9F50"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Konsep “iman yang bekerja melalui kasih” memberikan titik temu dengan tradisi Katolik dan Protestan, di mana iman, kasih, dan transformasi terhubung secara integral. White mengintegrasikan perspektif-perspektif ini dalam kerangka relasional yang berpusat pada persatuan dengan Kristus. </w:t>
      </w:r>
      <w:r w:rsidRPr="008D548F">
        <w:rPr>
          <w:rFonts w:ascii="Cambria" w:eastAsia="Cambria" w:hAnsi="Cambria" w:cs="Cambria"/>
          <w:sz w:val="24"/>
          <w:szCs w:val="24"/>
          <w:vertAlign w:val="superscript"/>
          <w:lang w:val="id"/>
        </w:rPr>
        <w:footnoteReference w:id="60"/>
      </w:r>
      <w:r w:rsidRPr="008D548F">
        <w:rPr>
          <w:rFonts w:ascii="Cambria" w:eastAsia="Cambria" w:hAnsi="Cambria" w:cs="Cambria"/>
          <w:sz w:val="24"/>
          <w:szCs w:val="24"/>
          <w:lang w:val="id"/>
        </w:rPr>
        <w:t>Pemahamannya tentang pengudusan sebagai transformasi melalui persatuan dengan Kristus juga selaras dengan penekanan teologi Reformasi pada kasih karunia, khususnya dalam pengakuannya terhadap pembenaran dan pengudusan sebagai dimensi keselamatan yang terpadu.</w:t>
      </w:r>
    </w:p>
    <w:p w14:paraId="745BBEC3" w14:textId="77777777" w:rsidR="008D548F" w:rsidRPr="008D548F" w:rsidRDefault="008D548F" w:rsidP="005811C8">
      <w:pPr>
        <w:numPr>
          <w:ilvl w:val="0"/>
          <w:numId w:val="6"/>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t>Tantangan Pascamodern</w:t>
      </w:r>
    </w:p>
    <w:p w14:paraId="7EB24508"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Perbedaan yang dibuat White antara emosi dan janji ilahi menjadi sangat relevan dalam konteks postmodern di mana pengalaman subjektif sering diprioritaskan di atas kebenaran objektif. Dia memperingatkan bahwa emosi tidak dapat berfungsi sebagai dasar yang dapat diandalkan untuk kepastian keselamatan, yang harus didasarkan pada karya objektif Kristus dan janji-janji Kitab Suci.</w:t>
      </w:r>
      <w:r w:rsidRPr="008D548F">
        <w:rPr>
          <w:rFonts w:ascii="Cambria" w:eastAsia="Cambria" w:hAnsi="Cambria" w:cs="Cambria"/>
          <w:sz w:val="24"/>
          <w:szCs w:val="24"/>
          <w:vertAlign w:val="superscript"/>
          <w:lang w:val="id"/>
        </w:rPr>
        <w:footnoteReference w:id="61"/>
      </w:r>
    </w:p>
    <w:p w14:paraId="180F506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 xml:space="preserve">Pada saat yang sama, mengkomunikasikan kebenaran objektif ini membutuhkan pendekatan relasional dan pastoral, yang tercermin dalam kerangka Langkah-Langkah Menuju Kristus, di mana kebenaran disampaikan melalui kasih dan keterlibatan pribadi. </w:t>
      </w:r>
      <w:r w:rsidRPr="008D548F">
        <w:rPr>
          <w:rFonts w:ascii="Cambria" w:eastAsia="Cambria" w:hAnsi="Cambria" w:cs="Cambria"/>
          <w:sz w:val="24"/>
          <w:szCs w:val="24"/>
          <w:vertAlign w:val="superscript"/>
          <w:lang w:val="id"/>
        </w:rPr>
        <w:footnoteReference w:id="62"/>
      </w:r>
      <w:r w:rsidRPr="008D548F">
        <w:rPr>
          <w:rFonts w:ascii="Cambria" w:eastAsia="Cambria" w:hAnsi="Cambria" w:cs="Cambria"/>
          <w:sz w:val="24"/>
          <w:szCs w:val="24"/>
          <w:lang w:val="id"/>
        </w:rPr>
        <w:t>Dalam konteks relativisme moral, penekanan White pada pengembangan karakter melalui kasih karunia ilahi memberikan landasan etis. Dengan demikian, keselamatan dipahami tidak hanya sebagai pemulihan pribadi tetapi juga memiliki implikasi sosial melalui kehidupan yang diubah yang berkontribusi pada pembaharuan masyarakat.</w:t>
      </w:r>
      <w:r w:rsidRPr="008D548F">
        <w:rPr>
          <w:rFonts w:ascii="Cambria" w:eastAsia="Cambria" w:hAnsi="Cambria" w:cs="Cambria"/>
          <w:sz w:val="24"/>
          <w:szCs w:val="24"/>
          <w:vertAlign w:val="superscript"/>
          <w:lang w:val="id"/>
        </w:rPr>
        <w:footnoteReference w:id="63"/>
      </w:r>
    </w:p>
    <w:p w14:paraId="1E8C22B6" w14:textId="77777777" w:rsidR="008D548F" w:rsidRPr="008D548F" w:rsidRDefault="008D548F" w:rsidP="005811C8">
      <w:pPr>
        <w:numPr>
          <w:ilvl w:val="0"/>
          <w:numId w:val="6"/>
        </w:numPr>
        <w:spacing w:after="0" w:line="300" w:lineRule="auto"/>
        <w:ind w:left="426" w:hanging="426"/>
        <w:jc w:val="both"/>
        <w:rPr>
          <w:rFonts w:ascii="Cambria" w:eastAsia="Cambria" w:hAnsi="Cambria" w:cs="Cambria"/>
          <w:sz w:val="24"/>
          <w:szCs w:val="24"/>
          <w:lang w:val="id"/>
        </w:rPr>
      </w:pPr>
      <w:r w:rsidRPr="008D548F">
        <w:rPr>
          <w:rFonts w:ascii="Cambria" w:eastAsia="Cambria" w:hAnsi="Cambria" w:cs="Cambria"/>
          <w:sz w:val="24"/>
          <w:szCs w:val="24"/>
          <w:lang w:val="id"/>
        </w:rPr>
        <w:lastRenderedPageBreak/>
        <w:t>Keselamatan sebagai Transformasi Holistik</w:t>
      </w:r>
    </w:p>
    <w:p w14:paraId="011C68CD"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White memandang keselamatan sebagai proses komprehensif yang mencakup pembenaran, pengudusan, dan pemuliaan dalam kerangka eskatologis menurut kajian teologis tentang Pengudusan Alkitab dan Langkah-langkah Menuju Kristus. Pengampunan dosa hanyalah salah satu aspek keselamatan, seperti halnya pengembangan karakter yang dihasilkan oleh kehadiran Roh Kudus di dalam diri kita.</w:t>
      </w:r>
      <w:r w:rsidRPr="008D548F">
        <w:rPr>
          <w:rFonts w:ascii="Cambria" w:eastAsia="Cambria" w:hAnsi="Cambria" w:cs="Cambria"/>
          <w:sz w:val="24"/>
          <w:szCs w:val="24"/>
          <w:vertAlign w:val="superscript"/>
          <w:lang w:val="id"/>
        </w:rPr>
        <w:footnoteReference w:id="64"/>
      </w:r>
    </w:p>
    <w:p w14:paraId="39ED3B4B"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Gagasan tentang tempat kudus surgawi dan pelayanan perantaraan Kristus, yang menekankan bahwa penebusan adalah proses berkelanjutan yang mengarah pada pemulihan kosmik, sangat terkait dengan kerangka kerja ini. Sudut pandang ini memperluas konsep keselamatan dari pengalaman pribadi menjadi komponen dari tujuan penebusan Allah yang menyeluruh.</w:t>
      </w:r>
      <w:r w:rsidRPr="008D548F">
        <w:rPr>
          <w:rFonts w:ascii="Cambria" w:eastAsia="Cambria" w:hAnsi="Cambria" w:cs="Cambria"/>
          <w:sz w:val="24"/>
          <w:szCs w:val="24"/>
          <w:vertAlign w:val="superscript"/>
          <w:lang w:val="id"/>
        </w:rPr>
        <w:footnoteReference w:id="65"/>
      </w:r>
    </w:p>
    <w:p w14:paraId="5D087646" w14:textId="77777777" w:rsidR="008D548F" w:rsidRPr="008D548F" w:rsidRDefault="008D548F" w:rsidP="008D548F">
      <w:pPr>
        <w:spacing w:after="0" w:line="300" w:lineRule="auto"/>
        <w:ind w:firstLine="720"/>
        <w:jc w:val="both"/>
        <w:rPr>
          <w:rFonts w:ascii="Cambria" w:eastAsia="Cambria" w:hAnsi="Cambria" w:cs="Cambria"/>
          <w:sz w:val="24"/>
          <w:szCs w:val="24"/>
          <w:lang w:val="id"/>
        </w:rPr>
      </w:pPr>
      <w:r w:rsidRPr="008D548F">
        <w:rPr>
          <w:rFonts w:ascii="Cambria" w:eastAsia="Cambria" w:hAnsi="Cambria" w:cs="Cambria"/>
          <w:sz w:val="24"/>
          <w:szCs w:val="24"/>
          <w:lang w:val="id"/>
        </w:rPr>
        <w:t>Pandangan ini menegaskan bahwa keselamatan lebih dari sekadar kedudukan hukum dalam konteks Adventisme modern; itu adalah jalan menuju keserupaan dengan Kristus. Perubahan ini dihasilkan oleh interaksi dinamis antara reaksi manusia dan kasih karunia ilahi, sinergi yang menjauh dari ekstremisme pelagianisme atau monergisme. Sebagai kerangka teologis yang mengintegrasikan pengalaman spiritual nyata dengan keyakinan doktrinal, soteriologi White masih relevan hingga saat ini.</w:t>
      </w:r>
      <w:r w:rsidRPr="008D548F">
        <w:rPr>
          <w:rFonts w:ascii="Cambria" w:eastAsia="Cambria" w:hAnsi="Cambria" w:cs="Cambria"/>
          <w:sz w:val="24"/>
          <w:szCs w:val="24"/>
          <w:vertAlign w:val="superscript"/>
          <w:lang w:val="id"/>
        </w:rPr>
        <w:footnoteReference w:id="66"/>
      </w:r>
    </w:p>
    <w:p w14:paraId="4A7CC113" w14:textId="77777777" w:rsidR="00537A88" w:rsidRDefault="00537A88">
      <w:pPr>
        <w:widowControl w:val="0"/>
        <w:spacing w:after="0" w:line="300" w:lineRule="auto"/>
        <w:jc w:val="both"/>
        <w:rPr>
          <w:rFonts w:ascii="Cambria" w:eastAsia="Cambria" w:hAnsi="Cambria" w:cs="Cambria"/>
          <w:sz w:val="24"/>
          <w:szCs w:val="24"/>
        </w:rPr>
      </w:pPr>
    </w:p>
    <w:p w14:paraId="2F07D477" w14:textId="77777777" w:rsidR="00537A88" w:rsidRDefault="00D24A94">
      <w:pPr>
        <w:widowControl w:val="0"/>
        <w:numPr>
          <w:ilvl w:val="0"/>
          <w:numId w:val="1"/>
        </w:numPr>
        <w:pBdr>
          <w:top w:val="nil"/>
          <w:left w:val="nil"/>
          <w:bottom w:val="nil"/>
          <w:right w:val="nil"/>
          <w:between w:val="nil"/>
        </w:pBdr>
        <w:spacing w:after="0" w:line="300" w:lineRule="auto"/>
        <w:ind w:left="426" w:hanging="426"/>
        <w:jc w:val="both"/>
        <w:rPr>
          <w:rFonts w:ascii="Cambria" w:eastAsia="Cambria" w:hAnsi="Cambria" w:cs="Cambria"/>
          <w:b/>
          <w:color w:val="000000"/>
          <w:sz w:val="24"/>
          <w:szCs w:val="24"/>
        </w:rPr>
      </w:pPr>
      <w:r>
        <w:rPr>
          <w:rFonts w:ascii="Cambria" w:eastAsia="Cambria" w:hAnsi="Cambria" w:cs="Cambria"/>
          <w:b/>
          <w:color w:val="000000"/>
          <w:sz w:val="24"/>
          <w:szCs w:val="24"/>
        </w:rPr>
        <w:t>Kesimpulan</w:t>
      </w:r>
    </w:p>
    <w:p w14:paraId="0414F0B2" w14:textId="77777777" w:rsidR="005811C8" w:rsidRPr="005811C8" w:rsidRDefault="005811C8" w:rsidP="005811C8">
      <w:pPr>
        <w:spacing w:after="0" w:line="300" w:lineRule="auto"/>
        <w:ind w:firstLine="720"/>
        <w:jc w:val="both"/>
        <w:rPr>
          <w:rFonts w:ascii="Cambria" w:eastAsia="Cambria" w:hAnsi="Cambria" w:cs="Cambria"/>
          <w:sz w:val="24"/>
          <w:szCs w:val="24"/>
          <w:lang w:val="sv-SE"/>
        </w:rPr>
      </w:pPr>
      <w:r w:rsidRPr="005811C8">
        <w:rPr>
          <w:rFonts w:ascii="Cambria" w:eastAsia="Cambria" w:hAnsi="Cambria" w:cs="Cambria"/>
          <w:sz w:val="24"/>
          <w:szCs w:val="24"/>
          <w:lang w:val="sv-SE"/>
        </w:rPr>
        <w:t>Studi ini meneliti pandangan soteriologis Ellen G. White melalui analisis komparatif dua karya yang mewakili konteks historis yang berbeda, yaitu Pengudusan Alkitab (1882) dan Langkah-Langkah Menuju Kristus (1892). Dari perspektif teologis-historis, temuan menunjukkan bahwa soteriologi White menunjukkan tingkat kontinuitas yang tinggi. Pemahamannya tentang keselamatan secara konsisten bertumpu pada kasih karunia melalui iman, yang secara alami menghasilkan pengudusan dan ketaatan kepada hukum Allah. Alih-alih menunjukkan pergeseran doktrinal antara legalisme dan kasih karunia, perbedaan antara kedua karya tersebut lebih baik dipahami sebagai variasi dalam penekanan pastoral yang dibentuk oleh kebutuhan gereja pada periode yang berbeda.</w:t>
      </w:r>
    </w:p>
    <w:p w14:paraId="32629323" w14:textId="77777777" w:rsidR="005811C8" w:rsidRPr="005811C8" w:rsidRDefault="005811C8" w:rsidP="005811C8">
      <w:pPr>
        <w:spacing w:after="0" w:line="300" w:lineRule="auto"/>
        <w:ind w:firstLine="720"/>
        <w:jc w:val="both"/>
        <w:rPr>
          <w:rFonts w:ascii="Cambria" w:eastAsia="Cambria" w:hAnsi="Cambria" w:cs="Cambria"/>
          <w:sz w:val="24"/>
          <w:szCs w:val="24"/>
          <w:lang w:val="sv-SE"/>
        </w:rPr>
      </w:pPr>
      <w:r w:rsidRPr="005811C8">
        <w:rPr>
          <w:rFonts w:ascii="Cambria" w:eastAsia="Cambria" w:hAnsi="Cambria" w:cs="Cambria"/>
          <w:sz w:val="24"/>
          <w:szCs w:val="24"/>
          <w:lang w:val="sv-SE"/>
        </w:rPr>
        <w:t xml:space="preserve">Kedua, Pengudusan Alkitab berfungsi sebagai klarifikasi doktrinal yang membahas distorsi teologis seperti antinomianisme dan kesalahpahaman tentang pengudusan sebagai kesempurnaan seketika. Buku ini menekankan bahwa ketaatan adalah hasil dari kasih karunia dan bahwa hukum Allah berfungsi sebagai standar hidup kudus. Sebaliknya, Langkah-langkah Menuju Kristus memiliki tujuan pastoral dan devosional yang lebih luas </w:t>
      </w:r>
      <w:r w:rsidRPr="005811C8">
        <w:rPr>
          <w:rFonts w:ascii="Cambria" w:eastAsia="Cambria" w:hAnsi="Cambria" w:cs="Cambria"/>
          <w:sz w:val="24"/>
          <w:szCs w:val="24"/>
          <w:lang w:val="sv-SE"/>
        </w:rPr>
        <w:lastRenderedPageBreak/>
        <w:t>dengan membimbing orang percaya ke dalam hubungan pribadi dengan Kristus, menekankan kepastian, stabilitas spiritual, dan pengalaman "tinggal di dalam Kristus."</w:t>
      </w:r>
    </w:p>
    <w:p w14:paraId="0AB38195" w14:textId="77777777" w:rsidR="005811C8" w:rsidRPr="005811C8" w:rsidRDefault="005811C8" w:rsidP="005811C8">
      <w:pPr>
        <w:spacing w:after="0" w:line="300" w:lineRule="auto"/>
        <w:ind w:firstLine="720"/>
        <w:jc w:val="both"/>
        <w:rPr>
          <w:rFonts w:ascii="Cambria" w:eastAsia="Cambria" w:hAnsi="Cambria" w:cs="Cambria"/>
          <w:sz w:val="24"/>
          <w:szCs w:val="24"/>
          <w:lang w:val="sv-SE"/>
        </w:rPr>
      </w:pPr>
      <w:r w:rsidRPr="005811C8">
        <w:rPr>
          <w:rFonts w:ascii="Cambria" w:eastAsia="Cambria" w:hAnsi="Cambria" w:cs="Cambria"/>
          <w:sz w:val="24"/>
          <w:szCs w:val="24"/>
          <w:lang w:val="sv-SE"/>
        </w:rPr>
        <w:t>Ketiga, Konferensi Umum tahun 1888 berfungsi sebagai katalis kontekstual penting yang memengaruhi artikulasi anugerah dalam tulisan-tulisan White selanjutnya tanpa mengubah teologi dasarnya. Setelah periode ini, ia semakin menekankan peran sentral Kristus dalam keselamatan sambil mempertahankan hubungan yang seimbang antara pembenaran dan pengudusan.</w:t>
      </w:r>
    </w:p>
    <w:p w14:paraId="237ED8C5" w14:textId="77777777" w:rsidR="005811C8" w:rsidRPr="005811C8" w:rsidRDefault="005811C8" w:rsidP="005811C8">
      <w:pPr>
        <w:spacing w:after="0" w:line="300" w:lineRule="auto"/>
        <w:ind w:firstLine="720"/>
        <w:jc w:val="both"/>
        <w:rPr>
          <w:rFonts w:ascii="Cambria" w:eastAsia="Cambria" w:hAnsi="Cambria" w:cs="Cambria"/>
          <w:sz w:val="24"/>
          <w:szCs w:val="24"/>
          <w:lang w:val="sv-SE"/>
        </w:rPr>
      </w:pPr>
      <w:r w:rsidRPr="005811C8">
        <w:rPr>
          <w:rFonts w:ascii="Cambria" w:eastAsia="Cambria" w:hAnsi="Cambria" w:cs="Cambria"/>
          <w:sz w:val="24"/>
          <w:szCs w:val="24"/>
          <w:lang w:val="sv-SE"/>
        </w:rPr>
        <w:t>Keempat, sintesis teologis White menawarkan kerangka kerja yang seimbang dan relevan dengan pemikiran Kristen kontemporer dengan menolak legalisme dan antinomianisme. Dalam kerangka kerja ini, kasih karunia tidak menghapuskan hukum tetapi memberdayakan orang percaya untuk hidup dalam ketaatan kepadanya sebagai ekspresi dari karakter yang telah diubah.</w:t>
      </w:r>
    </w:p>
    <w:p w14:paraId="5A6E958C" w14:textId="544EB46A" w:rsidR="00537A88" w:rsidRPr="002F0379" w:rsidRDefault="005811C8" w:rsidP="005811C8">
      <w:pPr>
        <w:spacing w:after="0" w:line="300" w:lineRule="auto"/>
        <w:ind w:firstLine="720"/>
        <w:jc w:val="both"/>
        <w:rPr>
          <w:rFonts w:ascii="Cambria" w:eastAsia="Cambria" w:hAnsi="Cambria" w:cs="Cambria"/>
          <w:sz w:val="24"/>
          <w:szCs w:val="24"/>
          <w:lang w:val="sv-SE"/>
        </w:rPr>
      </w:pPr>
      <w:r w:rsidRPr="005811C8">
        <w:rPr>
          <w:rFonts w:ascii="Cambria" w:eastAsia="Cambria" w:hAnsi="Cambria" w:cs="Cambria"/>
          <w:sz w:val="24"/>
          <w:szCs w:val="24"/>
          <w:lang w:val="sv-SE"/>
        </w:rPr>
        <w:t>Akhirnya, studi ini menunjukkan bahwa penelitian lebih lanjut tentang teologi Advent tidak hanya berfokus pada nubuat dan eskatologi, tetapi juga memberikan perhatian lebih besar pada kedalaman soteriologi White. Pemahaman komprehensif tentang pemikirannya sangat penting untuk perkembangan teologis dan spiritual Gereja Masehi Advent Hari Ketujuh. Seperti yang diungkapkan dalam Langkah-Langkah Menuju Kristus, seluruh rencana penebusan mengungkapkan kedalaman kasih Allah, dan refleksi teologis harus memastikan bahwa pesan ini tetap jelas, relevan, dan transformatif bagi setiap generasi.</w:t>
      </w:r>
    </w:p>
    <w:p w14:paraId="5F6BFE2A" w14:textId="77777777" w:rsidR="00537A88" w:rsidRPr="002F0379" w:rsidRDefault="00537A88">
      <w:pPr>
        <w:spacing w:after="0" w:line="300" w:lineRule="auto"/>
        <w:jc w:val="both"/>
        <w:rPr>
          <w:rFonts w:ascii="Cambria" w:eastAsia="Cambria" w:hAnsi="Cambria" w:cs="Cambria"/>
          <w:sz w:val="24"/>
          <w:szCs w:val="24"/>
          <w:lang w:val="sv-SE"/>
        </w:rPr>
      </w:pPr>
    </w:p>
    <w:p w14:paraId="4D027716" w14:textId="5323F106" w:rsidR="00537A88" w:rsidRDefault="00D24A94">
      <w:pPr>
        <w:spacing w:after="0" w:line="300" w:lineRule="auto"/>
        <w:jc w:val="both"/>
        <w:rPr>
          <w:rFonts w:ascii="Cambria" w:eastAsia="Cambria" w:hAnsi="Cambria" w:cs="Cambria"/>
          <w:b/>
          <w:sz w:val="24"/>
          <w:szCs w:val="24"/>
          <w:lang w:val="sv-SE"/>
        </w:rPr>
      </w:pPr>
      <w:r w:rsidRPr="002F0379">
        <w:rPr>
          <w:rFonts w:ascii="Cambria" w:eastAsia="Cambria" w:hAnsi="Cambria" w:cs="Cambria"/>
          <w:b/>
          <w:sz w:val="24"/>
          <w:szCs w:val="24"/>
          <w:lang w:val="sv-SE"/>
        </w:rPr>
        <w:t>Daftar Pustaka</w:t>
      </w:r>
    </w:p>
    <w:p w14:paraId="36754A59"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sz w:val="24"/>
          <w:szCs w:val="24"/>
        </w:rPr>
        <w:fldChar w:fldCharType="begin" w:fldLock="1"/>
      </w:r>
      <w:r w:rsidRPr="005811C8">
        <w:rPr>
          <w:rFonts w:asciiTheme="majorHAnsi" w:hAnsiTheme="majorHAnsi"/>
          <w:sz w:val="24"/>
          <w:szCs w:val="24"/>
        </w:rPr>
        <w:instrText xml:space="preserve">ADDIN Mendeley Bibliography CSL_BIBLIOGRAPHY </w:instrText>
      </w:r>
      <w:r w:rsidRPr="005811C8">
        <w:rPr>
          <w:rFonts w:asciiTheme="majorHAnsi" w:hAnsiTheme="majorHAnsi"/>
          <w:sz w:val="24"/>
          <w:szCs w:val="24"/>
        </w:rPr>
        <w:fldChar w:fldCharType="separate"/>
      </w:r>
      <w:r w:rsidRPr="005811C8">
        <w:rPr>
          <w:rFonts w:asciiTheme="majorHAnsi" w:hAnsiTheme="majorHAnsi"/>
          <w:noProof/>
          <w:sz w:val="24"/>
          <w:szCs w:val="24"/>
        </w:rPr>
        <w:t>Ashworth, W S. “Cahaya yang Lebih Kecil dan Cahaya yang Lebih Besar” (2007).</w:t>
      </w:r>
    </w:p>
    <w:p w14:paraId="4CB20C8D"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Bade, M. “Gereja Advent Hari Ketujuh dan 'Bertumbuh di dalam Kristus': Dari Kesadaran Eklesiologis Menuju Keterlibatan Misiologis.” </w:t>
      </w:r>
      <w:r w:rsidRPr="005811C8">
        <w:rPr>
          <w:rFonts w:asciiTheme="majorHAnsi" w:hAnsiTheme="majorHAnsi"/>
          <w:i/>
          <w:iCs/>
          <w:noProof/>
          <w:sz w:val="24"/>
          <w:szCs w:val="24"/>
        </w:rPr>
        <w:t xml:space="preserve">Jurnal Studi Misi Advent </w:t>
      </w:r>
      <w:r w:rsidRPr="005811C8">
        <w:rPr>
          <w:rFonts w:asciiTheme="majorHAnsi" w:hAnsiTheme="majorHAnsi"/>
          <w:noProof/>
          <w:sz w:val="24"/>
          <w:szCs w:val="24"/>
        </w:rPr>
        <w:t>13, No. 2 (2017): 119.</w:t>
      </w:r>
    </w:p>
    <w:p w14:paraId="65985D5B"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Bemmelen, Van, dan M Peter. “Pembenaran Melalui Iman: Pemahaman Adventis.” </w:t>
      </w:r>
      <w:r w:rsidRPr="005811C8">
        <w:rPr>
          <w:rFonts w:asciiTheme="majorHAnsi" w:hAnsiTheme="majorHAnsi"/>
          <w:i/>
          <w:iCs/>
          <w:noProof/>
          <w:sz w:val="24"/>
          <w:szCs w:val="24"/>
        </w:rPr>
        <w:t xml:space="preserve">Jurnal Masyarakat Teologi Adventis </w:t>
      </w:r>
      <w:r w:rsidRPr="005811C8">
        <w:rPr>
          <w:rFonts w:asciiTheme="majorHAnsi" w:hAnsiTheme="majorHAnsi"/>
          <w:noProof/>
          <w:sz w:val="24"/>
          <w:szCs w:val="24"/>
        </w:rPr>
        <w:t>20, No. 1 (2009): 17.</w:t>
      </w:r>
    </w:p>
    <w:p w14:paraId="214247A0"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Blue, K. “Persatuan dengan Kristus dalam Tulisan-tulisan Ellen G. White,” 2015.</w:t>
      </w:r>
    </w:p>
    <w:p w14:paraId="06C2774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Burt, M D. “Ellen G. White dan Keyakinan Fundamental Adventis: Perannya dalam Memfinalisasi Doktrin.” </w:t>
      </w:r>
      <w:r w:rsidRPr="005811C8">
        <w:rPr>
          <w:rFonts w:asciiTheme="majorHAnsi" w:hAnsiTheme="majorHAnsi"/>
          <w:i/>
          <w:iCs/>
          <w:noProof/>
          <w:sz w:val="24"/>
          <w:szCs w:val="24"/>
        </w:rPr>
        <w:t xml:space="preserve">Digital Commons - Andrews University </w:t>
      </w:r>
      <w:r w:rsidRPr="005811C8">
        <w:rPr>
          <w:rFonts w:asciiTheme="majorHAnsi" w:hAnsiTheme="majorHAnsi"/>
          <w:noProof/>
          <w:sz w:val="24"/>
          <w:szCs w:val="24"/>
        </w:rPr>
        <w:t>9, No. 9 (2013): 32.</w:t>
      </w:r>
    </w:p>
    <w:p w14:paraId="6D65BFF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“Latar Belakang Sejarah, Perkembangan yang Saling Terkait dan Integrasi Doktrin Tempat Kudus, Hari Sabat, dan Peran Ellen G. White dalam Adventisme Sabbatarian dari Tahun 1844 hingga 1849,” 2002.</w:t>
      </w:r>
    </w:p>
    <w:p w14:paraId="73817DC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Cauley, M. “Gerakan Kekristenan Otentik: Penerimaan dan Integrasi Prinsip-Prinsip Alkitabiah dalam Pendirian Gereja Advent Hari Ketujuh,” 2010.</w:t>
      </w:r>
    </w:p>
    <w:p w14:paraId="49C24308"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Chen, C. “Interpretasi Perjanjian secara Historis, Alkitabiah, dan Teologis,” 2019.</w:t>
      </w:r>
    </w:p>
    <w:p w14:paraId="3C9275BB"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lastRenderedPageBreak/>
        <w:t>Davidson, R M. “Pembenaran Melalui Iman Menurut Perjanjian Lama: Mengikuti Jejak Para Reformator,” 2017.</w:t>
      </w:r>
    </w:p>
    <w:p w14:paraId="59BB4905"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 “Kabar Baik Yom Kippur dalam Teologi Advent Hari Ketujuh.” </w:t>
      </w:r>
      <w:r w:rsidRPr="005811C8">
        <w:rPr>
          <w:rFonts w:asciiTheme="majorHAnsi" w:hAnsiTheme="majorHAnsi"/>
          <w:i/>
          <w:iCs/>
          <w:noProof/>
          <w:sz w:val="24"/>
          <w:szCs w:val="24"/>
        </w:rPr>
        <w:t xml:space="preserve">Digital Commons - Andrews University </w:t>
      </w:r>
      <w:r w:rsidRPr="005811C8">
        <w:rPr>
          <w:rFonts w:asciiTheme="majorHAnsi" w:hAnsiTheme="majorHAnsi"/>
          <w:noProof/>
          <w:sz w:val="24"/>
          <w:szCs w:val="24"/>
        </w:rPr>
        <w:t>54, No. 2 (2007): 4.</w:t>
      </w:r>
    </w:p>
    <w:p w14:paraId="00ED269A"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Fortin, D. “Pemahaman Konseptual Ellen G. White tentang Tempat Suci dan Hermeneutika,” 2000.</w:t>
      </w:r>
    </w:p>
    <w:p w14:paraId="24EE96FF"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Fowler, J. “Konsep Pengembangan Karakter dalam Tulisan-tulisan Ellen G. White,” 1977.</w:t>
      </w:r>
    </w:p>
    <w:p w14:paraId="70237F30"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Galdino, M. “El Papel Del Misionerismo En La Configuración Del Imaginario Social De Los Adventistas Del Séptimo Día,” 2017.</w:t>
      </w:r>
    </w:p>
    <w:p w14:paraId="1CD355E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Galeniece, A M. “Pendidikan Advent dan Dimensi Eskatologisnya dalam Tulisan-tulisan Ellen White,” 2020.</w:t>
      </w:r>
    </w:p>
    <w:p w14:paraId="72925727"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Hall, K D. “Jonathan Edwards dan Pengudusan: Pencarian Kebahagiaan yang Ditemukan dalam Persatuan dan Ketaatan,” 2017.</w:t>
      </w:r>
    </w:p>
    <w:p w14:paraId="732658C5"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Harwood B., G H.; Beem. “Belajarlah untuk Menunjukkan Dirimu Layak Diperkenankan: Warisan Adventisme Hari Ketujuh tentang Kajian Alkitab yang Cermat,” 2019.</w:t>
      </w:r>
    </w:p>
    <w:p w14:paraId="21286319"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Hasel, F M. “Kematian Pengganti Kristus,” 2010.</w:t>
      </w:r>
    </w:p>
    <w:p w14:paraId="256E6E5B"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Hellsten, L. “Para Pemimpin Penebusan: Bagaimana Tarian Abad Pertengahan Menjadi Sakral,” 2023.</w:t>
      </w:r>
    </w:p>
    <w:p w14:paraId="188C5C59"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Hutabarat, Reymand. “Pemahaman Tentang Pengudusan Dalam Tulisan Ellen G White.” </w:t>
      </w:r>
      <w:r w:rsidRPr="005811C8">
        <w:rPr>
          <w:rFonts w:asciiTheme="majorHAnsi" w:hAnsiTheme="majorHAnsi"/>
          <w:i/>
          <w:iCs/>
          <w:noProof/>
          <w:sz w:val="24"/>
          <w:szCs w:val="24"/>
        </w:rPr>
        <w:t xml:space="preserve">Jurnal Koinonia </w:t>
      </w:r>
      <w:r w:rsidRPr="005811C8">
        <w:rPr>
          <w:rFonts w:asciiTheme="majorHAnsi" w:hAnsiTheme="majorHAnsi"/>
          <w:noProof/>
          <w:sz w:val="24"/>
          <w:szCs w:val="24"/>
        </w:rPr>
        <w:t>8, No.1 (2016): 9–13.</w:t>
      </w:r>
    </w:p>
    <w:p w14:paraId="5BBF7A27"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Knight, G R. “Biarkan Yesus Masuk,” 2018.</w:t>
      </w:r>
    </w:p>
    <w:p w14:paraId="5BBE105E"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Lee, J. “Iman dan Perbuatan dalam Doktrin Ellen G. White tentang Penghakiman Terakhir,” 1985.</w:t>
      </w:r>
    </w:p>
    <w:p w14:paraId="2586DD10"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Mcgraw, R M. “Keselamatan Melalui Iman: Iman, Perjanjian dan Urutan Keselamatan dalam Thomas Goodwin (1600-1680),” 2020.</w:t>
      </w:r>
    </w:p>
    <w:p w14:paraId="41DB6C67"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Pöhler, R J. “Perubahan dalam Teologi Gereja Masehi Advent Hari Ketujuh: Sebuah Studi tentang Masalah Perkembangan Doktrin,” 1995.</w:t>
      </w:r>
    </w:p>
    <w:p w14:paraId="19DA9119"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Russo, M A. “Bagaimana Soteriologi Dapat Memahami Kosmologi,” 2018.</w:t>
      </w:r>
    </w:p>
    <w:p w14:paraId="70FD3236"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Santrač, A S. “Warisan Sola Fide Martin Luther,” 2017.</w:t>
      </w:r>
    </w:p>
    <w:p w14:paraId="3C7C426B"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Souza E., De; Brasil. “Tempat Suci: Kosmos, Perjanjian, dan Penciptaan,” 2013.</w:t>
      </w:r>
    </w:p>
    <w:p w14:paraId="060CE60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Stefánsson TD, J H.; Robertson. “Disertasi dan Tesis Agama Gereja Advent Hari Ketujuh,” 2015.</w:t>
      </w:r>
    </w:p>
    <w:p w14:paraId="37E073C1"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Steinmetz, Michael Nathan. “Penebusan Menuju Kehidupan: Antropologi Kierkegaardian dan Hubungan Antara Pembenaran dan Pengudusan.” </w:t>
      </w:r>
      <w:r w:rsidRPr="005811C8">
        <w:rPr>
          <w:rFonts w:asciiTheme="majorHAnsi" w:hAnsiTheme="majorHAnsi"/>
          <w:i/>
          <w:iCs/>
          <w:noProof/>
          <w:sz w:val="24"/>
          <w:szCs w:val="24"/>
        </w:rPr>
        <w:t xml:space="preserve">Mdpi Religions </w:t>
      </w:r>
      <w:r w:rsidRPr="005811C8">
        <w:rPr>
          <w:rFonts w:asciiTheme="majorHAnsi" w:hAnsiTheme="majorHAnsi"/>
          <w:noProof/>
          <w:sz w:val="24"/>
          <w:szCs w:val="24"/>
        </w:rPr>
        <w:t>15 (2024).</w:t>
      </w:r>
    </w:p>
    <w:p w14:paraId="38C58037"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Tejada, VM “La Formación Del Carácter En El Pensamiento De Elena G. De White: Una Perspectiva De Educación Integral,” 2019.</w:t>
      </w:r>
    </w:p>
    <w:p w14:paraId="0BD4944D"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Timm, A R. “Tempat Suci dan Pesan Tiga Malaikat 1844–1863,” 1995.</w:t>
      </w:r>
    </w:p>
    <w:p w14:paraId="754A0B09"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Wetterlin, C. “Pemahaman Ellen G. White tentang Kehadiran Roh Kudus: Sebuah Studi Kronologis,” 2015.</w:t>
      </w:r>
    </w:p>
    <w:p w14:paraId="349659E6"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lastRenderedPageBreak/>
        <w:t xml:space="preserve">Wetterlin, Cory. “Pemahaman Ellen G. White tentang Kehadiran Roh Kudus: Sebuah Studi Kronologis.” </w:t>
      </w:r>
      <w:r w:rsidRPr="005811C8">
        <w:rPr>
          <w:rFonts w:asciiTheme="majorHAnsi" w:hAnsiTheme="majorHAnsi"/>
          <w:i/>
          <w:iCs/>
          <w:noProof/>
          <w:sz w:val="24"/>
          <w:szCs w:val="24"/>
        </w:rPr>
        <w:t xml:space="preserve">Jurnal Mahasiswa Seminari Universitas Andrews </w:t>
      </w:r>
      <w:r w:rsidRPr="005811C8">
        <w:rPr>
          <w:rFonts w:asciiTheme="majorHAnsi" w:hAnsiTheme="majorHAnsi"/>
          <w:noProof/>
          <w:sz w:val="24"/>
          <w:szCs w:val="24"/>
        </w:rPr>
        <w:t>1, No. 2 (2015).</w:t>
      </w:r>
    </w:p>
    <w:p w14:paraId="07038953"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White. </w:t>
      </w:r>
      <w:r w:rsidRPr="005811C8">
        <w:rPr>
          <w:rFonts w:asciiTheme="majorHAnsi" w:hAnsiTheme="majorHAnsi"/>
          <w:i/>
          <w:iCs/>
          <w:noProof/>
          <w:sz w:val="24"/>
          <w:szCs w:val="24"/>
        </w:rPr>
        <w:t xml:space="preserve">Kisah Para Patriark dan Nabi </w:t>
      </w:r>
      <w:r w:rsidRPr="005811C8">
        <w:rPr>
          <w:rFonts w:asciiTheme="majorHAnsi" w:hAnsiTheme="majorHAnsi"/>
          <w:noProof/>
          <w:sz w:val="24"/>
          <w:szCs w:val="24"/>
        </w:rPr>
        <w:t>. Mountain View, Ca: Pacific Press, 1958.</w:t>
      </w:r>
    </w:p>
    <w:p w14:paraId="2DB7F48B"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White, Ellen G. </w:t>
      </w:r>
      <w:r w:rsidRPr="005811C8">
        <w:rPr>
          <w:rFonts w:asciiTheme="majorHAnsi" w:hAnsiTheme="majorHAnsi"/>
          <w:i/>
          <w:iCs/>
          <w:noProof/>
          <w:sz w:val="24"/>
          <w:szCs w:val="24"/>
        </w:rPr>
        <w:t xml:space="preserve">Pengudusan Alkitab </w:t>
      </w:r>
      <w:r w:rsidRPr="005811C8">
        <w:rPr>
          <w:rFonts w:asciiTheme="majorHAnsi" w:hAnsiTheme="majorHAnsi"/>
          <w:noProof/>
          <w:sz w:val="24"/>
          <w:szCs w:val="24"/>
        </w:rPr>
        <w:t>. Battle Creek, Mi: Review And Herald Publishing Association, 1882.</w:t>
      </w:r>
    </w:p>
    <w:p w14:paraId="052D459A"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 </w:t>
      </w:r>
      <w:r w:rsidRPr="005811C8">
        <w:rPr>
          <w:rFonts w:asciiTheme="majorHAnsi" w:hAnsiTheme="majorHAnsi"/>
          <w:i/>
          <w:iCs/>
          <w:noProof/>
          <w:sz w:val="24"/>
          <w:szCs w:val="24"/>
        </w:rPr>
        <w:t xml:space="preserve">Selected Messages Book 1 </w:t>
      </w:r>
      <w:r w:rsidRPr="005811C8">
        <w:rPr>
          <w:rFonts w:asciiTheme="majorHAnsi" w:hAnsiTheme="majorHAnsi"/>
          <w:noProof/>
          <w:sz w:val="24"/>
          <w:szCs w:val="24"/>
        </w:rPr>
        <w:t>. Washington, DC: Review And Herald Publishing Association, 1958.</w:t>
      </w:r>
    </w:p>
    <w:p w14:paraId="34D3D4E7"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 </w:t>
      </w:r>
      <w:r w:rsidRPr="005811C8">
        <w:rPr>
          <w:rFonts w:asciiTheme="majorHAnsi" w:hAnsiTheme="majorHAnsi"/>
          <w:i/>
          <w:iCs/>
          <w:noProof/>
          <w:sz w:val="24"/>
          <w:szCs w:val="24"/>
        </w:rPr>
        <w:t xml:space="preserve">Langkah-langkah Menuju Kristus </w:t>
      </w:r>
      <w:r w:rsidRPr="005811C8">
        <w:rPr>
          <w:rFonts w:asciiTheme="majorHAnsi" w:hAnsiTheme="majorHAnsi"/>
          <w:noProof/>
          <w:sz w:val="24"/>
          <w:szCs w:val="24"/>
        </w:rPr>
        <w:t>. Battle Creek, Mi: Review And Herald Publishing Association, 1892.</w:t>
      </w:r>
    </w:p>
    <w:p w14:paraId="3D9B5EFC"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William, M. “Konsep Keadilan Sosial dalam Ilmu Sosial, dalam Alkitab, dan dalam Adventisme,” 2017.</w:t>
      </w:r>
    </w:p>
    <w:p w14:paraId="0C97C4D0"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 xml:space="preserve">Xavier, É T. “Previsões Entre Os Adventistas Ao Longo Dos Tempos: O Contexto De Marcação De Datas Para Volta De Jesus.” </w:t>
      </w:r>
      <w:r w:rsidRPr="005811C8">
        <w:rPr>
          <w:rFonts w:asciiTheme="majorHAnsi" w:hAnsiTheme="majorHAnsi"/>
          <w:i/>
          <w:iCs/>
          <w:noProof/>
          <w:sz w:val="24"/>
          <w:szCs w:val="24"/>
        </w:rPr>
        <w:t xml:space="preserve">Praxis Teológica </w:t>
      </w:r>
      <w:r w:rsidRPr="005811C8">
        <w:rPr>
          <w:rFonts w:asciiTheme="majorHAnsi" w:hAnsiTheme="majorHAnsi"/>
          <w:noProof/>
          <w:sz w:val="24"/>
          <w:szCs w:val="24"/>
        </w:rPr>
        <w:t>17, No.1 (2021).</w:t>
      </w:r>
    </w:p>
    <w:p w14:paraId="35661C2E" w14:textId="77777777" w:rsidR="005811C8" w:rsidRPr="005811C8" w:rsidRDefault="005811C8" w:rsidP="005811C8">
      <w:pPr>
        <w:adjustRightInd w:val="0"/>
        <w:spacing w:after="120" w:line="240" w:lineRule="auto"/>
        <w:ind w:left="709" w:hanging="709"/>
        <w:jc w:val="both"/>
        <w:rPr>
          <w:rFonts w:asciiTheme="majorHAnsi" w:hAnsiTheme="majorHAnsi"/>
          <w:noProof/>
          <w:sz w:val="24"/>
          <w:szCs w:val="24"/>
        </w:rPr>
      </w:pPr>
      <w:r w:rsidRPr="005811C8">
        <w:rPr>
          <w:rFonts w:asciiTheme="majorHAnsi" w:hAnsiTheme="majorHAnsi"/>
          <w:noProof/>
          <w:sz w:val="24"/>
          <w:szCs w:val="24"/>
        </w:rPr>
        <w:t>Zackrison, E. “Gereja Advent Hari Ketujuh dan Dosa Asal: Sebuah Studi tentang Perkembangan Awal Pemahaman Gereja Advent Hari Ketujuh tentang Dampak Dosa Adam pada Keturunannya,” 1984.</w:t>
      </w:r>
    </w:p>
    <w:p w14:paraId="76139E5F" w14:textId="2953E887" w:rsidR="005811C8" w:rsidRPr="005811C8" w:rsidRDefault="005811C8" w:rsidP="005811C8">
      <w:pPr>
        <w:spacing w:after="120" w:line="240" w:lineRule="auto"/>
        <w:ind w:left="709" w:hanging="709"/>
        <w:jc w:val="both"/>
        <w:rPr>
          <w:rFonts w:ascii="Cambria" w:eastAsia="Cambria" w:hAnsi="Cambria" w:cs="Cambria"/>
          <w:bCs/>
          <w:sz w:val="24"/>
          <w:szCs w:val="24"/>
          <w:lang w:val="sv-SE"/>
        </w:rPr>
      </w:pPr>
      <w:r w:rsidRPr="005811C8">
        <w:rPr>
          <w:rFonts w:asciiTheme="majorHAnsi" w:hAnsiTheme="majorHAnsi"/>
          <w:sz w:val="24"/>
          <w:szCs w:val="24"/>
        </w:rPr>
        <w:fldChar w:fldCharType="end"/>
      </w:r>
    </w:p>
    <w:sectPr w:rsidR="005811C8" w:rsidRPr="005811C8">
      <w:headerReference w:type="even" r:id="rId9"/>
      <w:headerReference w:type="default" r:id="rId10"/>
      <w:footerReference w:type="even" r:id="rId11"/>
      <w:footerReference w:type="default" r:id="rId12"/>
      <w:footerReference w:type="first" r:id="rId13"/>
      <w:pgSz w:w="11907" w:h="16839"/>
      <w:pgMar w:top="1418" w:right="1134"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F4FE8" w14:textId="77777777" w:rsidR="00FF79BF" w:rsidRDefault="00FF79BF">
      <w:pPr>
        <w:spacing w:after="0" w:line="240" w:lineRule="auto"/>
      </w:pPr>
      <w:r>
        <w:separator/>
      </w:r>
    </w:p>
  </w:endnote>
  <w:endnote w:type="continuationSeparator" w:id="0">
    <w:p w14:paraId="1894962C" w14:textId="77777777" w:rsidR="00FF79BF" w:rsidRDefault="00FF7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C061897-51E0-4A7F-B07F-602F76FE254C}"/>
    <w:embedBold r:id="rId2" w:fontKey="{6A660941-04F5-4CFA-A1EE-3A44FA6DBC22}"/>
    <w:embedItalic r:id="rId3" w:fontKey="{00A7105D-A20F-4F29-A3FC-2D25741BF5C1}"/>
  </w:font>
  <w:font w:name="Cambria">
    <w:panose1 w:val="02040503050406030204"/>
    <w:charset w:val="00"/>
    <w:family w:val="roman"/>
    <w:pitch w:val="variable"/>
    <w:sig w:usb0="E00006FF" w:usb1="420024FF" w:usb2="02000000" w:usb3="00000000" w:csb0="0000019F" w:csb1="00000000"/>
    <w:embedRegular r:id="rId4" w:fontKey="{6FCA76FB-DBD6-4C03-B1A4-19A99CC8C233}"/>
    <w:embedBold r:id="rId5" w:fontKey="{8D7299F6-B8B0-487D-97C9-A68E821E12AF}"/>
    <w:embedItalic r:id="rId6" w:fontKey="{179DF6B7-E3AD-4C04-99BB-3AFF7022954C}"/>
    <w:embedBoldItalic r:id="rId7" w:fontKey="{024A1E80-A953-4EA9-9FAD-5E0AED0E2874}"/>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56CAEE02-1467-4938-B742-01C04BD87B9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9" w:fontKey="{84603025-6072-4CC5-BE3B-C1CD7418DD4A}"/>
    <w:embedItalic r:id="rId10" w:fontKey="{415F4171-B9E3-46B4-8162-80A1348D22BE}"/>
  </w:font>
  <w:font w:name="NewsGoth Cn BT">
    <w:altName w:val="Calibri"/>
    <w:charset w:val="00"/>
    <w:family w:val="auto"/>
    <w:pitch w:val="default"/>
  </w:font>
  <w:font w:name="CMBX10">
    <w:altName w:val="Cambria"/>
    <w:panose1 w:val="00000000000000000000"/>
    <w:charset w:val="00"/>
    <w:family w:val="roman"/>
    <w:notTrueType/>
    <w:pitch w:val="default"/>
  </w:font>
  <w:font w:name="Microsoft New Tai Lue">
    <w:panose1 w:val="020B0502040204020203"/>
    <w:charset w:val="00"/>
    <w:family w:val="swiss"/>
    <w:pitch w:val="variable"/>
    <w:sig w:usb0="00000003" w:usb1="00000000" w:usb2="80000000" w:usb3="00000000" w:csb0="00000001" w:csb1="00000000"/>
    <w:embedRegular r:id="rId11" w:fontKey="{8EE05221-020E-43A2-80D2-036BFA0A2EF2}"/>
  </w:font>
  <w:font w:name="Khmer">
    <w:charset w:val="00"/>
    <w:family w:val="auto"/>
    <w:pitch w:val="default"/>
    <w:embedRegular r:id="rId12" w:fontKey="{AA1C5046-1113-4F0C-ABFE-4230ED338A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B6B3A" w14:textId="77777777" w:rsidR="00537A88" w:rsidRDefault="00537A88">
    <w:pPr>
      <w:pBdr>
        <w:top w:val="nil"/>
        <w:left w:val="nil"/>
        <w:bottom w:val="nil"/>
        <w:right w:val="nil"/>
        <w:between w:val="nil"/>
      </w:pBdr>
      <w:tabs>
        <w:tab w:val="center" w:pos="4680"/>
        <w:tab w:val="right" w:pos="9360"/>
      </w:tabs>
      <w:spacing w:after="0" w:line="240" w:lineRule="auto"/>
      <w:jc w:val="center"/>
      <w:rPr>
        <w:rFonts w:ascii="Microsoft New Tai Lue" w:eastAsia="Microsoft New Tai Lue" w:hAnsi="Microsoft New Tai Lue" w:cs="Microsoft New Tai Lue"/>
        <w:color w:val="000000"/>
        <w:sz w:val="18"/>
        <w:szCs w:val="18"/>
      </w:rPr>
    </w:pPr>
  </w:p>
  <w:p w14:paraId="334D7C45" w14:textId="77777777" w:rsidR="00537A88" w:rsidRDefault="00537A88">
    <w:pPr>
      <w:pBdr>
        <w:top w:val="nil"/>
        <w:left w:val="nil"/>
        <w:bottom w:val="nil"/>
        <w:right w:val="nil"/>
        <w:between w:val="nil"/>
      </w:pBdr>
      <w:tabs>
        <w:tab w:val="center" w:pos="4680"/>
        <w:tab w:val="right" w:pos="9360"/>
      </w:tabs>
      <w:spacing w:after="0" w:line="240" w:lineRule="auto"/>
      <w:jc w:val="center"/>
      <w:rPr>
        <w:rFonts w:ascii="Microsoft New Tai Lue" w:eastAsia="Microsoft New Tai Lue" w:hAnsi="Microsoft New Tai Lue" w:cs="Microsoft New Tai Lue"/>
        <w:color w:val="000000"/>
        <w:sz w:val="18"/>
        <w:szCs w:val="18"/>
      </w:rPr>
    </w:pPr>
  </w:p>
  <w:p w14:paraId="3EA521A2" w14:textId="6BD46E61" w:rsidR="00537A88" w:rsidRDefault="00D24A94">
    <w:pPr>
      <w:pBdr>
        <w:top w:val="nil"/>
        <w:left w:val="nil"/>
        <w:bottom w:val="nil"/>
        <w:right w:val="nil"/>
        <w:between w:val="nil"/>
      </w:pBdr>
      <w:tabs>
        <w:tab w:val="center" w:pos="4680"/>
        <w:tab w:val="right" w:pos="9360"/>
      </w:tabs>
      <w:spacing w:after="0" w:line="240" w:lineRule="auto"/>
      <w:jc w:val="right"/>
      <w:rPr>
        <w:color w:val="000000"/>
      </w:rPr>
    </w:pPr>
    <w:r>
      <w:rPr>
        <w:rFonts w:ascii="Microsoft New Tai Lue" w:eastAsia="Microsoft New Tai Lue" w:hAnsi="Microsoft New Tai Lue" w:cs="Microsoft New Tai Lue"/>
        <w:color w:val="000000"/>
        <w:sz w:val="18"/>
        <w:szCs w:val="18"/>
      </w:rPr>
      <w:t>Copyright© 202</w:t>
    </w:r>
    <w:r w:rsidR="002F0379">
      <w:rPr>
        <w:rFonts w:ascii="Microsoft New Tai Lue" w:eastAsia="Microsoft New Tai Lue" w:hAnsi="Microsoft New Tai Lue" w:cs="Microsoft New Tai Lue"/>
        <w:sz w:val="18"/>
        <w:szCs w:val="18"/>
      </w:rPr>
      <w:t>6</w:t>
    </w:r>
    <w:r>
      <w:rPr>
        <w:rFonts w:ascii="Microsoft New Tai Lue" w:eastAsia="Microsoft New Tai Lue" w:hAnsi="Microsoft New Tai Lue" w:cs="Microsoft New Tai Lue"/>
        <w:color w:val="000000"/>
        <w:sz w:val="18"/>
        <w:szCs w:val="18"/>
      </w:rPr>
      <w:t>;</w:t>
    </w:r>
    <w:r w:rsidR="002F0379">
      <w:rPr>
        <w:rFonts w:ascii="Microsoft New Tai Lue" w:eastAsia="Microsoft New Tai Lue" w:hAnsi="Microsoft New Tai Lue" w:cs="Microsoft New Tai Lue"/>
        <w:color w:val="000000"/>
        <w:sz w:val="18"/>
        <w:szCs w:val="18"/>
      </w:rPr>
      <w:t xml:space="preserve"> </w:t>
    </w:r>
    <w:r>
      <w:rPr>
        <w:rFonts w:ascii="Microsoft New Tai Lue" w:eastAsia="Microsoft New Tai Lue" w:hAnsi="Microsoft New Tai Lue" w:cs="Microsoft New Tai Lue"/>
        <w:sz w:val="18"/>
        <w:szCs w:val="18"/>
      </w:rPr>
      <w:t>Authors</w:t>
    </w:r>
    <w:r>
      <w:rPr>
        <w:rFonts w:ascii="Khmer" w:eastAsia="Khmer" w:hAnsi="Khmer" w:cs="Khmer"/>
        <w:color w:val="000000"/>
        <w:sz w:val="18"/>
        <w:szCs w:val="18"/>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2F0379">
      <w:rPr>
        <w:noProof/>
        <w:color w:val="000000"/>
      </w:rPr>
      <w:t>2</w:t>
    </w:r>
    <w:r>
      <w:rPr>
        <w:color w:val="000000"/>
      </w:rPr>
      <w:fldChar w:fldCharType="end"/>
    </w: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216D4"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09B2A254"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250A25CB" w14:textId="1806D5C0" w:rsidR="00537A88" w:rsidRDefault="00D24A94">
    <w:pPr>
      <w:pBdr>
        <w:top w:val="nil"/>
        <w:left w:val="nil"/>
        <w:bottom w:val="nil"/>
        <w:right w:val="nil"/>
        <w:between w:val="nil"/>
      </w:pBdr>
      <w:tabs>
        <w:tab w:val="center" w:pos="4680"/>
        <w:tab w:val="right" w:pos="9360"/>
      </w:tabs>
      <w:spacing w:after="0" w:line="240" w:lineRule="auto"/>
      <w:jc w:val="right"/>
      <w:rPr>
        <w:color w:val="000000"/>
      </w:rPr>
    </w:pPr>
    <w:r>
      <w:rPr>
        <w:rFonts w:ascii="Microsoft New Tai Lue" w:eastAsia="Microsoft New Tai Lue" w:hAnsi="Microsoft New Tai Lue" w:cs="Microsoft New Tai Lue"/>
        <w:sz w:val="18"/>
        <w:szCs w:val="18"/>
      </w:rPr>
      <w:t>Copyright© 202</w:t>
    </w:r>
    <w:r w:rsidR="002F0379">
      <w:rPr>
        <w:rFonts w:ascii="Microsoft New Tai Lue" w:eastAsia="Microsoft New Tai Lue" w:hAnsi="Microsoft New Tai Lue" w:cs="Microsoft New Tai Lue"/>
        <w:sz w:val="18"/>
        <w:szCs w:val="18"/>
      </w:rPr>
      <w:t>6</w:t>
    </w:r>
    <w:r>
      <w:rPr>
        <w:rFonts w:ascii="Microsoft New Tai Lue" w:eastAsia="Microsoft New Tai Lue" w:hAnsi="Microsoft New Tai Lue" w:cs="Microsoft New Tai Lue"/>
        <w:sz w:val="18"/>
        <w:szCs w:val="18"/>
      </w:rPr>
      <w:t>; Authors</w:t>
    </w:r>
    <w:r>
      <w:rPr>
        <w:rFonts w:ascii="Khmer" w:eastAsia="Khmer" w:hAnsi="Khmer" w:cs="Khmer"/>
        <w:color w:val="000000"/>
        <w:sz w:val="18"/>
        <w:szCs w:val="18"/>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2F0379">
      <w:rPr>
        <w:noProof/>
        <w:color w:val="000000"/>
      </w:rPr>
      <w:t>3</w:t>
    </w:r>
    <w:r>
      <w:rPr>
        <w:color w:val="000000"/>
      </w:rPr>
      <w:fldChar w:fldCharType="end"/>
    </w:r>
    <w:r>
      <w:rPr>
        <w:color w:val="000000"/>
      </w:rPr>
      <w:t xml:space="preserve"> </w:t>
    </w:r>
  </w:p>
  <w:p w14:paraId="115895D8" w14:textId="77777777" w:rsidR="00537A88" w:rsidRDefault="00537A88">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FE46D" w14:textId="77777777" w:rsidR="00537A88" w:rsidRDefault="00537A88">
    <w:pPr>
      <w:pBdr>
        <w:top w:val="nil"/>
        <w:left w:val="nil"/>
        <w:bottom w:val="nil"/>
        <w:right w:val="nil"/>
        <w:between w:val="nil"/>
      </w:pBdr>
      <w:tabs>
        <w:tab w:val="center" w:pos="4680"/>
        <w:tab w:val="right" w:pos="9360"/>
      </w:tabs>
      <w:spacing w:after="0" w:line="240" w:lineRule="auto"/>
      <w:jc w:val="center"/>
      <w:rPr>
        <w:color w:val="000000"/>
      </w:rPr>
    </w:pPr>
  </w:p>
  <w:p w14:paraId="5FEB13EB" w14:textId="77777777" w:rsidR="00537A88" w:rsidRDefault="00D24A94">
    <w:pPr>
      <w:pBdr>
        <w:top w:val="nil"/>
        <w:left w:val="nil"/>
        <w:bottom w:val="nil"/>
        <w:right w:val="nil"/>
        <w:between w:val="nil"/>
      </w:pBdr>
      <w:tabs>
        <w:tab w:val="center" w:pos="4680"/>
        <w:tab w:val="right" w:pos="9360"/>
      </w:tabs>
      <w:spacing w:after="0" w:line="240" w:lineRule="auto"/>
      <w:jc w:val="center"/>
      <w:rPr>
        <w:color w:val="000000"/>
      </w:rPr>
    </w:pPr>
    <w:r>
      <w:rPr>
        <w:noProof/>
      </w:rPr>
      <w:drawing>
        <wp:anchor distT="0" distB="0" distL="114300" distR="114300" simplePos="0" relativeHeight="251658240" behindDoc="0" locked="0" layoutInCell="1" hidden="0" allowOverlap="1" wp14:anchorId="3E75E31C" wp14:editId="4B96802A">
          <wp:simplePos x="0" y="0"/>
          <wp:positionH relativeFrom="column">
            <wp:posOffset>-651507</wp:posOffset>
          </wp:positionH>
          <wp:positionV relativeFrom="paragraph">
            <wp:posOffset>34925</wp:posOffset>
          </wp:positionV>
          <wp:extent cx="590550" cy="207645"/>
          <wp:effectExtent l="0" t="0" r="0" b="0"/>
          <wp:wrapNone/>
          <wp:docPr id="1837382924" name="image1.png" descr="is licensed under a Creative Commons Attribution-NonCommercial-NoDerivs (CC BY-NC-ND)."/>
          <wp:cNvGraphicFramePr/>
          <a:graphic xmlns:a="http://schemas.openxmlformats.org/drawingml/2006/main">
            <a:graphicData uri="http://schemas.openxmlformats.org/drawingml/2006/picture">
              <pic:pic xmlns:pic="http://schemas.openxmlformats.org/drawingml/2006/picture">
                <pic:nvPicPr>
                  <pic:cNvPr id="0" name="image1.png" descr="is licensed under a Creative Commons Attribution-NonCommercial-NoDerivs (CC BY-NC-ND)."/>
                  <pic:cNvPicPr preferRelativeResize="0"/>
                </pic:nvPicPr>
                <pic:blipFill>
                  <a:blip r:embed="rId1"/>
                  <a:srcRect/>
                  <a:stretch>
                    <a:fillRect/>
                  </a:stretch>
                </pic:blipFill>
                <pic:spPr>
                  <a:xfrm>
                    <a:off x="0" y="0"/>
                    <a:ext cx="590550" cy="207645"/>
                  </a:xfrm>
                  <a:prstGeom prst="rect">
                    <a:avLst/>
                  </a:prstGeom>
                  <a:ln/>
                </pic:spPr>
              </pic:pic>
            </a:graphicData>
          </a:graphic>
        </wp:anchor>
      </w:drawing>
    </w:r>
  </w:p>
  <w:p w14:paraId="586814E8" w14:textId="77777777" w:rsidR="00537A88" w:rsidRDefault="00D24A94">
    <w:pPr>
      <w:pBdr>
        <w:top w:val="nil"/>
        <w:left w:val="nil"/>
        <w:bottom w:val="nil"/>
        <w:right w:val="nil"/>
        <w:between w:val="nil"/>
      </w:pBdr>
      <w:tabs>
        <w:tab w:val="center" w:pos="4680"/>
        <w:tab w:val="right" w:pos="9360"/>
      </w:tabs>
      <w:spacing w:after="0" w:line="240" w:lineRule="auto"/>
      <w:jc w:val="both"/>
      <w:rPr>
        <w:rFonts w:ascii="Microsoft New Tai Lue" w:eastAsia="Microsoft New Tai Lue" w:hAnsi="Microsoft New Tai Lue" w:cs="Microsoft New Tai Lue"/>
        <w:color w:val="000000"/>
        <w:sz w:val="18"/>
        <w:szCs w:val="18"/>
      </w:rPr>
    </w:pP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rFonts w:ascii="Microsoft New Tai Lue" w:eastAsia="Microsoft New Tai Lue" w:hAnsi="Microsoft New Tai Lue" w:cs="Microsoft New Tai Lue"/>
        <w:color w:val="000000"/>
        <w:sz w:val="18"/>
        <w:szCs w:val="18"/>
      </w:rPr>
      <w:tab/>
    </w:r>
    <w:r>
      <w:rPr>
        <w:noProof/>
      </w:rPr>
      <mc:AlternateContent>
        <mc:Choice Requires="wps">
          <w:drawing>
            <wp:anchor distT="0" distB="0" distL="114300" distR="114300" simplePos="0" relativeHeight="251659264" behindDoc="0" locked="0" layoutInCell="1" hidden="0" allowOverlap="1" wp14:anchorId="67BFA0AD" wp14:editId="3D83E962">
              <wp:simplePos x="0" y="0"/>
              <wp:positionH relativeFrom="column">
                <wp:posOffset>-749299</wp:posOffset>
              </wp:positionH>
              <wp:positionV relativeFrom="paragraph">
                <wp:posOffset>25400</wp:posOffset>
              </wp:positionV>
              <wp:extent cx="3801745" cy="513271"/>
              <wp:effectExtent l="0" t="0" r="0" b="0"/>
              <wp:wrapNone/>
              <wp:docPr id="1837382922" name="Rectangle 1837382922"/>
              <wp:cNvGraphicFramePr/>
              <a:graphic xmlns:a="http://schemas.openxmlformats.org/drawingml/2006/main">
                <a:graphicData uri="http://schemas.microsoft.com/office/word/2010/wordprocessingShape">
                  <wps:wsp>
                    <wps:cNvSpPr/>
                    <wps:spPr>
                      <a:xfrm>
                        <a:off x="3459415" y="3544098"/>
                        <a:ext cx="3773170" cy="471805"/>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FD4C026" w14:textId="77777777" w:rsidR="00537A88" w:rsidRDefault="00D24A94">
                          <w:pPr>
                            <w:spacing w:line="258" w:lineRule="auto"/>
                            <w:textDirection w:val="btLr"/>
                          </w:pPr>
                          <w:r>
                            <w:rPr>
                              <w:rFonts w:ascii="Microsoft New Tai Lue" w:eastAsia="Microsoft New Tai Lue" w:hAnsi="Microsoft New Tai Lue" w:cs="Microsoft New Tai Lue"/>
                              <w:color w:val="000000"/>
                              <w:sz w:val="18"/>
                            </w:rPr>
                            <w:t>This work is licensed under a Creative Commons Attribution-ShareAlike 4.0 International (CC BY-SA 4.0)</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67BFA0AD" id="Rectangle 1837382922" o:spid="_x0000_s1029" style="position:absolute;left:0;text-align:left;margin-left:-59pt;margin-top:2pt;width:299.35pt;height:40.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" strokecolor="white [3201]">
              <v:stroke startarrowwidth="narrow" startarrowlength="short" endarrowwidth="narrow" endarrowlength="short"/>
              <v:textbox inset="2.53958mm,1.2694mm,2.53958mm,1.2694mm">
                <w:txbxContent>
                  <w:p w14:paraId="5FD4C026" w14:textId="77777777" w:rsidR="00537A88" w:rsidRDefault="00D24A94">
                    <w:pPr>
                      <w:spacing w:line="258" w:lineRule="auto"/>
                      <w:textDirection w:val="btLr"/>
                    </w:pPr>
                    <w:r>
                      <w:rPr>
                        <w:rFonts w:ascii="Microsoft New Tai Lue" w:eastAsia="Microsoft New Tai Lue" w:hAnsi="Microsoft New Tai Lue" w:cs="Microsoft New Tai Lue"/>
                        <w:color w:val="000000"/>
                        <w:sz w:val="18"/>
                      </w:rPr>
                      <w:t xml:space="preserve">This work is licensed under a Creative </w:t>
                    </w:r>
                    <w:r>
                      <w:rPr>
                        <w:rFonts w:ascii="Microsoft New Tai Lue" w:eastAsia="Microsoft New Tai Lue" w:hAnsi="Microsoft New Tai Lue" w:cs="Microsoft New Tai Lue"/>
                        <w:color w:val="000000"/>
                        <w:sz w:val="18"/>
                      </w:rPr>
                      <w:t>Commons Attribution-ShareAlike 4.0 International (CC BY-SA 4.0)</w:t>
                    </w:r>
                  </w:p>
                </w:txbxContent>
              </v:textbox>
            </v:rect>
          </w:pict>
        </mc:Fallback>
      </mc:AlternateContent>
    </w:r>
  </w:p>
  <w:p w14:paraId="2BF6EFC2" w14:textId="1BD0DFA9" w:rsidR="00537A88" w:rsidRDefault="00D24A94">
    <w:pPr>
      <w:pBdr>
        <w:top w:val="nil"/>
        <w:left w:val="nil"/>
        <w:bottom w:val="nil"/>
        <w:right w:val="nil"/>
        <w:between w:val="nil"/>
      </w:pBdr>
      <w:tabs>
        <w:tab w:val="center" w:pos="4680"/>
        <w:tab w:val="right" w:pos="9360"/>
      </w:tabs>
      <w:spacing w:after="0" w:line="240" w:lineRule="auto"/>
      <w:ind w:left="5760" w:firstLine="720"/>
      <w:jc w:val="both"/>
      <w:rPr>
        <w:color w:val="000000"/>
      </w:rPr>
    </w:pPr>
    <w:r>
      <w:rPr>
        <w:rFonts w:ascii="Microsoft New Tai Lue" w:eastAsia="Microsoft New Tai Lue" w:hAnsi="Microsoft New Tai Lue" w:cs="Microsoft New Tai Lue"/>
        <w:color w:val="000000"/>
        <w:sz w:val="18"/>
        <w:szCs w:val="18"/>
      </w:rPr>
      <w:t>Copyright© 202</w:t>
    </w:r>
    <w:r w:rsidR="002F0379">
      <w:rPr>
        <w:rFonts w:ascii="Microsoft New Tai Lue" w:eastAsia="Microsoft New Tai Lue" w:hAnsi="Microsoft New Tai Lue" w:cs="Microsoft New Tai Lue"/>
        <w:sz w:val="18"/>
        <w:szCs w:val="18"/>
      </w:rPr>
      <w:t>6</w:t>
    </w:r>
    <w:r>
      <w:rPr>
        <w:rFonts w:ascii="Microsoft New Tai Lue" w:eastAsia="Microsoft New Tai Lue" w:hAnsi="Microsoft New Tai Lue" w:cs="Microsoft New Tai Lue"/>
        <w:color w:val="000000"/>
        <w:sz w:val="18"/>
        <w:szCs w:val="18"/>
      </w:rPr>
      <w:t xml:space="preserve">; </w:t>
    </w:r>
    <w:r>
      <w:rPr>
        <w:rFonts w:ascii="Microsoft New Tai Lue" w:eastAsia="Microsoft New Tai Lue" w:hAnsi="Microsoft New Tai Lue" w:cs="Microsoft New Tai Lue"/>
        <w:sz w:val="18"/>
        <w:szCs w:val="18"/>
      </w:rPr>
      <w:t>Authors</w:t>
    </w:r>
    <w:r>
      <w:rPr>
        <w:rFonts w:ascii="Microsoft New Tai Lue" w:eastAsia="Microsoft New Tai Lue" w:hAnsi="Microsoft New Tai Lue" w:cs="Microsoft New Tai Lue"/>
        <w:color w:val="000000"/>
        <w:sz w:val="18"/>
        <w:szCs w:val="18"/>
      </w:rPr>
      <w:t xml:space="preserve">, </w:t>
    </w:r>
    <w:r>
      <w:rPr>
        <w:color w:val="000000"/>
      </w:rPr>
      <w:t xml:space="preserve">| </w:t>
    </w:r>
    <w:r>
      <w:rPr>
        <w:color w:val="000000"/>
      </w:rPr>
      <w:fldChar w:fldCharType="begin"/>
    </w:r>
    <w:r>
      <w:rPr>
        <w:color w:val="000000"/>
      </w:rPr>
      <w:instrText>PAGE</w:instrText>
    </w:r>
    <w:r>
      <w:rPr>
        <w:color w:val="000000"/>
      </w:rPr>
      <w:fldChar w:fldCharType="separate"/>
    </w:r>
    <w:r w:rsidR="002F0379">
      <w:rPr>
        <w:noProof/>
        <w:color w:val="000000"/>
      </w:rPr>
      <w:t>1</w:t>
    </w:r>
    <w:r>
      <w:rPr>
        <w:color w:val="000000"/>
      </w:rPr>
      <w:fldChar w:fldCharType="end"/>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8582F" w14:textId="77777777" w:rsidR="00FF79BF" w:rsidRDefault="00FF79BF">
      <w:pPr>
        <w:spacing w:after="0" w:line="240" w:lineRule="auto"/>
      </w:pPr>
      <w:r>
        <w:separator/>
      </w:r>
    </w:p>
  </w:footnote>
  <w:footnote w:type="continuationSeparator" w:id="0">
    <w:p w14:paraId="50D34B3F" w14:textId="77777777" w:rsidR="00FF79BF" w:rsidRDefault="00FF79BF">
      <w:pPr>
        <w:spacing w:after="0" w:line="240" w:lineRule="auto"/>
      </w:pPr>
      <w:r>
        <w:continuationSeparator/>
      </w:r>
    </w:p>
  </w:footnote>
  <w:footnote w:id="1">
    <w:p w14:paraId="5F58CBA3" w14:textId="77777777" w:rsidR="008D548F" w:rsidRPr="005811C8" w:rsidRDefault="008D548F" w:rsidP="005811C8">
      <w:pPr>
        <w:pStyle w:val="FootnoteText"/>
        <w:ind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{"citationItems":[{"id":"ITEM-1","itemData":{"author":[{"dropping-particle":"","family":"Steinmetz","given":"Michael Nathan","non-dropping-particle":"","parse-names":false,"suffix":""}],"container-title":"mdpi religions","id":"ITEM-1","issued":{"date-parts":[["2024"]]},"title":"Redemption unto Life : Kierkegaardian Anthropology and the Relation Between Justification and Sanctification","type":"article-journal","volume":"15"},"uris":["http://www.mendeley.com/documents/?uuid=6bbf434d-7ac2-4a5a-b2b0-d738372a4bea"]}],"mendeley":{"formattedCitation":"Michael Nathan Steinmetz, “Redemption unto Life : Kierkegaardian Anthropology and the Relation Between Justification and Sanctification,” &lt;i&gt;mdpi religions&lt;/i&gt; 15 (2024).","manualFormatting":"Michael Nathan Steinmetz, “Redemption Unto Life : Kierkegaardian Anthropology And The Relation Between Justification And Sanctification,” Mdpi Religions 15 (2024).","plainTextFormattedCitation":"Michael Nathan Steinmetz, “Redemption unto Life : Kierkegaardian Anthropology and the Relation Between Justification and Sanctification,” mdpi religions 15 (2024).","previouslyFormattedCitation":"Michael Nathan Steinmetz, “Redemption unto Life : Kierkegaardian Anthropology and the Relation Between Justification and Sanctification,” &lt;i&gt;mdpi religions&lt;/i&gt; 15 (2024)."},"properties":{"noteIndex":0},"schema":"https://github.com/citation-style-language/schema/raw/master/csl-citation.json"}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Michael Nathan Steinmetz, “Penebusan Menuju Kehidupan: Antropologi Kierkegaardian dan Hubungan Antara Pembenaran dan Pengudusan,” </w:t>
      </w:r>
      <w:r w:rsidRPr="005811C8">
        <w:rPr>
          <w:rFonts w:asciiTheme="majorHAnsi" w:hAnsiTheme="majorHAnsi"/>
          <w:i/>
          <w:noProof/>
        </w:rPr>
        <w:t xml:space="preserve">Mdpi Religions </w:t>
      </w:r>
      <w:r w:rsidRPr="005811C8">
        <w:rPr>
          <w:rFonts w:asciiTheme="majorHAnsi" w:hAnsiTheme="majorHAnsi"/>
          <w:noProof/>
        </w:rPr>
        <w:t>15 (2024).</w:t>
      </w:r>
      <w:r w:rsidRPr="005811C8">
        <w:rPr>
          <w:rFonts w:asciiTheme="majorHAnsi" w:hAnsiTheme="majorHAnsi"/>
        </w:rPr>
        <w:fldChar w:fldCharType="end"/>
      </w:r>
    </w:p>
  </w:footnote>
  <w:footnote w:id="2">
    <w:p w14:paraId="6C890BAC" w14:textId="77777777" w:rsidR="008D548F" w:rsidRPr="005811C8" w:rsidRDefault="008D548F" w:rsidP="005811C8">
      <w:pPr>
        <w:pStyle w:val="FootnoteText"/>
        <w:ind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{"citationItems":[{"id":"ITEM-1","itemData":{"author":[{"dropping-particle":"","family":"Wetterlin","given":"Cory","non-dropping-particle":"","parse-names":false,"suffix":""}],"container-title":"Andrews University Seminary Student Journal","id":"ITEM-1","issue":"2","issued":{"date-parts":[["2015"]]},"title":"Ellen G. White's Understanding of Indwelling of the Holy Spirit : A Chronological Study","type":"article-journal","volume":"1"},"uris":["http://www.mendeley.com/documents/?uuid=04767a44-c6a0-4c42-9860-6e2aa70234ca"]}],"mendeley":{"formattedCitation":"Cory Wetterlin, “Ellen G. White’s Understanding of Indwelling of the Holy Spirit : A Chronological Study,” &lt;i&gt;Andrews University Seminary Student Journal&lt;/i&gt; 1, no. 2 (2015).","plainTextFormattedCitation":"Cory Wetterlin, “Ellen G. White’s Understanding of Indwelling of the Holy Spirit : A Chronological Study,” Andrews University Seminary Student Journal 1, no. 2 (2015).","previouslyFormattedCitation":"Cory Wetterlin, “Ellen G. White’s Understanding of Indwelling of the Holy Spirit : A Chronological Study,” &lt;i&gt;Andrews University Seminary Student Journal&lt;/i&gt; 1, no. 2 (2015)."},"properties":{"noteIndex":2},"schema":"https://github.com/citation-style-language/schema/raw/master/csl-citation.json"}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Cory Wetterlin, “Pemahaman Ellen G. White tentang Kehadiran Roh Kudus: Sebuah Studi Kronologis,” </w:t>
      </w:r>
      <w:r w:rsidRPr="005811C8">
        <w:rPr>
          <w:rFonts w:asciiTheme="majorHAnsi" w:hAnsiTheme="majorHAnsi"/>
          <w:i/>
          <w:noProof/>
        </w:rPr>
        <w:t xml:space="preserve">Jurnal Mahasiswa Seminari Universitas Andrews </w:t>
      </w:r>
      <w:r w:rsidRPr="005811C8">
        <w:rPr>
          <w:rFonts w:asciiTheme="majorHAnsi" w:hAnsiTheme="majorHAnsi"/>
          <w:noProof/>
        </w:rPr>
        <w:t>1, No. 2 (2015).</w:t>
      </w:r>
      <w:r w:rsidRPr="005811C8">
        <w:rPr>
          <w:rFonts w:asciiTheme="majorHAnsi" w:hAnsiTheme="majorHAnsi"/>
        </w:rPr>
        <w:fldChar w:fldCharType="end"/>
      </w:r>
    </w:p>
  </w:footnote>
  <w:footnote w:id="3">
    <w:p w14:paraId="6091AF0F"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{"citationItems":[{"id":"ITEM-1","itemData":{"author":[{"dropping-particle":"","family":"McGraw","given":"R M","non-dropping-particle":"","parse-names":false,"suffix":""}],"id":"ITEM-1","issued":{"date-parts":[["2020"]]},"title":"Salvation by Faith: Faith, Covenant and the Order of Salvation in Thomas Goodwin (1600-1680)","type":"article"},"uris":["http://www.mendeley.com/documents/?uuid=ac00c800-7f7e-4dc9-b4d2-1047b140482f","http://www.mendeley.com/documents/?uuid=4e106f63-f7a5-443b-ba93-30eb7442e736"]}],"mendeley":{"formattedCitation":"R M McGraw, “Salvation by Faith: Faith, Covenant and the Order of Salvation in Thomas Goodwin (1600-1680),” 2020.","manualFormatting":"R.M. Mcgraw, “Salvation By Faith: Faith, Covenant And The Order Of Salvation In Thomas Goodwin (1600-1680),” 2020, Https://Ixtheo.De/Record/1747435929.","plainTextFormattedCitation":"R M McGraw, “Salvation by Faith: Faith, Covenant and the Order of Salvation in Thomas Goodwin (1600-1680),” 2020.","previouslyFormattedCitation":"R M McGraw, “Salvation by Faith: Faith, Covenant and the Order of Salvation in Thomas Goodwin (1600-1680),” 2020."},"properties":{"noteIndex":3},"schema":"https://github.com/citation-style-language/schema/raw/master/csl-citation.json"}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RM Mcgraw, “Keselamatan Melalui Iman: Iman, Perjanjian dan Urutan Keselamatan dalam Thomas Goodwin (1600-1680),” 2020, Https://Ixtheo.De/Record/1747435929.</w:t>
      </w:r>
      <w:r w:rsidRPr="005811C8">
        <w:rPr>
          <w:rFonts w:asciiTheme="majorHAnsi" w:hAnsiTheme="majorHAnsi"/>
        </w:rPr>
        <w:fldChar w:fldCharType="end"/>
      </w:r>
    </w:p>
  </w:footnote>
  <w:footnote w:id="4">
    <w:p w14:paraId="4FF5A9BD"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{"citationItems":[{"id":"ITEM-1","itemData":{"author":[{"dropping-particle":"","family":"Davidson","given":"R M","non-dropping-particle":"","parse-names":false,"suffix":""}],"id":"ITEM-1","issued":{"date-parts":[["2017"]]},"title":"Justification by Faith According to the Old Testament: In the Footsteps of the Reformers","type":"article"},"uris":["http://www.mendeley.com/documents/?uuid=61c843a6-8f1b-4378-a247-2857b3881cc5","http://www.mendeley.com/documents/?uuid=d530e112-8125-4e44-9e0c-34d92ded6d66"]}],"mendeley":{"formattedCitation":"R M Davidson, “Justification by Faith According to the Old Testament: In the Footsteps of the Reformers,” 2017.","manualFormatting":"Rm Davidson, “Justification By Faith According To The Old Testament: In The Footsteps Of The Reformers,” 2017, Https://Digitalcommons.Andrews.Edu/Cgi/Viewcontent.Cgi?Article=1860&amp;Context=Pubs.","plainTextFormattedCitation":"R M Davidson, “Justification by Faith According to the Old Testament: In the Footsteps of the Reformers,” 2017.","previouslyFormattedCitation":"R M Davidson, “Justification by Faith According to the Old Testament: In the Footsteps of the Reformers,” 2017."},"properties":{"noteIndex":4},"schema":"https://github.com/citation-style-language/schema/raw/master/csl-citation.json"}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Rm Davidson, “Pembenaran Melalui Iman Menurut Perjanjian Lama: Mengikuti Jejak Para Reformator,” 2017, Https://Digitalcommons.Andrews.Edu/Cgi/Viewcontent.Cgi?Article=1860&amp;Context=Pubs.</w:t>
      </w:r>
      <w:r w:rsidRPr="005811C8">
        <w:rPr>
          <w:rFonts w:asciiTheme="majorHAnsi" w:hAnsiTheme="majorHAnsi"/>
        </w:rPr>
        <w:fldChar w:fldCharType="end"/>
      </w:r>
    </w:p>
  </w:footnote>
  <w:footnote w:id="5">
    <w:p w14:paraId="1E7DA8F4"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{"citationItems":[{"id":"ITEM-1","itemData":{"author":[{"dropping-particle":"","family":"Hall","given":"K D","non-dropping-particle":"","parse-names":false,"suffix":""}],"id":"ITEM-1","issued":{"date-parts":[["2017"]]},"title":"Jonathan Edwards and Sanctification: The Pursuit of Happiness Found in Union and Obedience","type":"article"},"uris":["http://www.mendeley.com/documents/?uuid=3adf9ddb-84e3-47ca-89b7-20656cb8654b","http://www.mendeley.com/documents/?uuid=6ee556f8-4b81-4c7d-9095-f3baba2cfe2f"]}],"mendeley":{"formattedCitation":"K D Hall, “Jonathan Edwards and Sanctification: The Pursuit of Happiness Found in Union and Obedience,” 2017.","manualFormatting":"Kd Hall, “Jonathan Edwards And Sanctification: The Pursuit Of Happiness Found In Union And Obedience,” 2017, Https://Digital.Library.Sbts.Edu/Handle/10392/5327.","plainTextFormattedCitation":"K D Hall, “Jonathan Edwards and Sanctification: The Pursuit of Happiness Found in Union and Obedience,” 2017.","previouslyFormattedCitation":"K D Hall, “Jonathan Edwards and Sanctification: The Pursuit of Happiness Found in Union and Obedience,” 2017."},"properties":{"noteIndex":5},"schema":"https://github.com/citation-style-language/schema/raw/master/csl-citation.json"}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Kd Hall, “Jonathan Edwards dan Pengudusan: Pencarian Kebahagiaan yang Ditemukan dalam Persatuan dan Ketaatan,” 2017, Https://Digital.Library.Sbts.Edu/Handle/10392/5327.</w:t>
      </w:r>
      <w:r w:rsidRPr="005811C8">
        <w:rPr>
          <w:rFonts w:asciiTheme="majorHAnsi" w:hAnsiTheme="majorHAnsi"/>
        </w:rPr>
        <w:fldChar w:fldCharType="end"/>
      </w:r>
    </w:p>
  </w:footnote>
  <w:footnote w:id="6">
    <w:p w14:paraId="55C764B1"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G","non-dropping-particle":"","parse-names":false,"suffix":""}],"id":"ITEM-1","issued":{"date-parts":[["1892"]]},"publisher":"Review and Herald Publishing Association","publisher-place":"Battle Creek, MI","title":"Steps to Christ","type":"book"},"uris":["http://www.mendeley.com/documents/?uuid=55cc504a-9698-4fda-910a-8bbcc1bc6d7a","http://www.mendeley.com/documents/?uuid=ed776de2-d45d-4496-a184-513e0438ab0f"]}],"mendeley":{"formattedCitation":"Ellen G White, &lt;i&gt;Steps to Christ&lt;/i&gt; (Battle Creek, MI: Review and Herald Publishing Association, 1892).","manualFormatting":"White, Steps To Christ .","plainTextFormattedCitation":"Ellen G White, Steps to Christ (Battle Creek, MI: Review and Herald Publishing Association, 1892).","previouslyFormattedCitation":"Ellen G White, &lt;i&gt;Steps to Christ&lt;/i&gt; (Battle Creek, MI: Review and Herald Publishing Association, 1892)."},"properties":{"noteIndex":6},"schema":"https://github.com/citation-style-language/schema/raw/master/csl-citation.json"}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Langkah-langkah Menuju Kristus </w:t>
      </w:r>
      <w:r w:rsidRPr="005811C8">
        <w:rPr>
          <w:rFonts w:asciiTheme="majorHAnsi" w:hAnsiTheme="majorHAnsi"/>
          <w:noProof/>
        </w:rPr>
        <w:t>.</w:t>
      </w:r>
      <w:r w:rsidRPr="005811C8">
        <w:rPr>
          <w:rFonts w:asciiTheme="majorHAnsi" w:hAnsiTheme="majorHAnsi"/>
        </w:rPr>
        <w:fldChar w:fldCharType="end"/>
      </w:r>
    </w:p>
  </w:footnote>
  <w:footnote w:id="7">
    <w:p w14:paraId="5D6EC226"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White","type":"thesis"},"uris":["http://www.mendeley.com/documents/?uuid=b99c9458-d7e3-43d6-8475-b51e910ef168","http://www.mendeley.com/documents/?uuid=e04d637c-d267-4873-8ef2-27897f4dc3a4"]}],"mendeley":{"formattedCitation":"K Blue, “Union with Christ in the Writings of Ellen G. White,” 2015.","manualFormatting":"K Blue, “Union With Christ In The Writings Of Ellen G. White” (2015), Https://Doi.Org/10.32597/Dissertations/1582/.","plainTextFormattedCitation":"K Blue, “Union with Christ in the Writings of Ellen G. White,” 2015.","previouslyFormattedCitation":"K Blue, “Union with Christ in the Writings of Ellen G. White,” 2015."},"properties":{"noteIndex":7},"schema":"https://github.com/citation-style-language/schema/raw/master/csl-citation.json"}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K Blue, “Persatuan dengan Kristus dalam Tulisan-tulisan Ellen G. White” (2015), Https://Doi.Org/10.32597/Dissertations/1582/.</w:t>
      </w:r>
      <w:r w:rsidRPr="005811C8">
        <w:rPr>
          <w:rFonts w:asciiTheme="majorHAnsi" w:hAnsiTheme="majorHAnsi"/>
        </w:rPr>
        <w:fldChar w:fldCharType="end"/>
      </w:r>
    </w:p>
  </w:footnote>
  <w:footnote w:id="8">
    <w:p w14:paraId="7D1B2290"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G","non-dropping-particle":"","parse-names":false,"suffix":""}],"id":"ITEM-1","issued":{"date-parts":[["1882"]]},"publisher":"Review and Herald Publishing Association","publisher-place":"Battle Creek, MI","title":"Bible Sanctification","type":"book"},"uris":["http://www.mendeley.com/documents/?uuid=5d8f273e-bec7-43dd-be3b-1d9cdfc88620","http://www.mendeley.com/documents/?uuid=6314d5fc-7237-43fe-8b9e-dba64cd69ac6"]}],"mendeley":{"formattedCitation":"Ellen G White, &lt;i&gt;Bible Sanctification&lt;/i&gt; (Battle Creek, MI: Review and Herald Publishing Association, 1882).","manualFormatting":"Ellen G White, Bible Sanctification (Battle Creek, Mi: Review And Herald Publishing Association, 1882).","plainTextFormattedCitation":"Ellen G White, Bible Sanctification (Battle Creek, MI: Review and Herald Publishing Association, 1882).","previouslyFormattedCitation":"Ellen G White, &lt;i&gt;Bible Sanctification&lt;/i&gt; (Battle Creek, MI: Review and Herald Publishing Association, 1882)."},"properties":{"noteIndex":8},"schema":"https://github.com/citation-style-language/schema/raw/master/csl-citation.json"}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Ellen G White, </w:t>
      </w:r>
      <w:r w:rsidRPr="005811C8">
        <w:rPr>
          <w:rFonts w:asciiTheme="majorHAnsi" w:hAnsiTheme="majorHAnsi"/>
          <w:i/>
          <w:noProof/>
        </w:rPr>
        <w:t xml:space="preserve">Pengudusan Alkitab </w:t>
      </w:r>
      <w:r w:rsidRPr="005811C8">
        <w:rPr>
          <w:rFonts w:asciiTheme="majorHAnsi" w:hAnsiTheme="majorHAnsi"/>
          <w:noProof/>
        </w:rPr>
        <w:t>(Battle Creek, Mi: Review And Herald Publishing Association, 1882).</w:t>
      </w:r>
      <w:r w:rsidRPr="005811C8">
        <w:rPr>
          <w:rFonts w:asciiTheme="majorHAnsi" w:hAnsiTheme="majorHAnsi"/>
        </w:rPr>
        <w:fldChar w:fldCharType="end"/>
      </w:r>
    </w:p>
  </w:footnote>
  <w:footnote w:id="9">
    <w:p w14:paraId="1509EAB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G","non-dropping-particle":"","parse-names":false,"suffix":""}],"id":"ITEM-1","issued":{"date-parts":[["1958"]]},"publisher":"Review and Herald Publishing Association","publisher-place":"Washington, D.C.","title":"Selected Messages Book 1","type":"book"},"uris":["http://www.mendeley.com/documents/?uuid=af95604b-4902-4716-93fe-8ad48f265a6a","http://www.mendeley.com/documents/?uuid=a3180935-dbbc-4361-9264-f88d03061b3b"]}],"mendeley":{"formattedCitation":"Ellen G White, &lt;i&gt;Selected Messages Book 1&lt;/i&gt; (Washington, D.C.: Review and Herald Publishing Association, 1958).","manualFormatting":"Ellen G White, Selected Messages Book 1 (Washington, Dc: Review And Herald Publishing Association, 1958).","plainTextFormattedCitation":"Ellen G White, Selected Messages Book 1 (Washington, D.C.: Review and Herald Publishing Association, 1958).","previouslyFormattedCitation":"Ellen G White, &lt;i&gt;Selected Messages Book 1&lt;/i&gt; (Washington, D.C.: Review and Herald Publishing Association, 1958)."},"properties":{"noteIndex":9},"schema":"https://github.com/citation-style-language/schema/raw/master/csl-citation.json"}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Ellen G White, </w:t>
      </w:r>
      <w:r w:rsidRPr="005811C8">
        <w:rPr>
          <w:rFonts w:asciiTheme="majorHAnsi" w:hAnsiTheme="majorHAnsi"/>
          <w:i/>
          <w:noProof/>
        </w:rPr>
        <w:t xml:space="preserve">Selected Messages Book 1 </w:t>
      </w:r>
      <w:r w:rsidRPr="005811C8">
        <w:rPr>
          <w:rFonts w:asciiTheme="majorHAnsi" w:hAnsiTheme="majorHAnsi"/>
          <w:noProof/>
        </w:rPr>
        <w:t>(Washington, DC: Review And Herald Publishing Association, 1958).</w:t>
      </w:r>
      <w:r w:rsidRPr="005811C8">
        <w:rPr>
          <w:rFonts w:asciiTheme="majorHAnsi" w:hAnsiTheme="majorHAnsi"/>
        </w:rPr>
        <w:fldChar w:fldCharType="end"/>
      </w:r>
    </w:p>
  </w:footnote>
  <w:footnote w:id="10">
    <w:p w14:paraId="28AE526B" w14:textId="77777777" w:rsidR="008D548F" w:rsidRPr="005811C8" w:rsidRDefault="008D548F" w:rsidP="005811C8">
      <w:pPr>
        <w:pStyle w:val="FootnoteText"/>
        <w:ind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{"citationItems":[{"id":"ITEM-1","itemData":{"author":[{"dropping-particle":"","family":"Hutabarat","given":"Reymand","non-dropping-particle":"","parse-names":false,"suffix":""}],"container-title":"Jurnal Koinonia","id":"ITEM-1","issue":"1","issued":{"date-parts":[["2016"]]},"page":"9-13","title":"THE UNDERSTANDING OF SANCTIFICATION IN THE WRITINGS OF ELLEN G WHITE","type":"article-journal","volume":"8"},"uris":["http://www.mendeley.com/documents/?uuid=a21952af-a9a7-4817-b3ab-5d7492c00521"]}],"mendeley":{"formattedCitation":"Reymand Hutabarat, “THE UNDERSTANDING OF SANCTIFICATION IN THE WRITINGS OF ELLEN G WHITE,” &lt;i&gt;Jurnal Koinonia&lt;/i&gt; 8, no. 1 (2016): 9–13.","plainTextFormattedCitation":"Reymand Hutabarat, “THE UNDERSTANDING OF SANCTIFICATION IN THE WRITINGS OF ELLEN G WHITE,” Jurnal Koinonia 8, no. 1 (2016): 9–13."},"properties":{"noteIndex":10},"schema":"https://github.com/citation-style-language/schema/raw/master/csl-citation.json"}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Reymand Hutabarat, “Pemahaman Pengudusan Dalam Tulisan Ellen G White,” </w:t>
      </w:r>
      <w:r w:rsidRPr="005811C8">
        <w:rPr>
          <w:rFonts w:asciiTheme="majorHAnsi" w:hAnsiTheme="majorHAnsi"/>
          <w:i/>
          <w:noProof/>
        </w:rPr>
        <w:t xml:space="preserve">Jurnal Koinonia </w:t>
      </w:r>
      <w:r w:rsidRPr="005811C8">
        <w:rPr>
          <w:rFonts w:asciiTheme="majorHAnsi" w:hAnsiTheme="majorHAnsi"/>
          <w:noProof/>
        </w:rPr>
        <w:t>8, No.1 (2016): 9–13.</w:t>
      </w:r>
      <w:r w:rsidRPr="005811C8">
        <w:rPr>
          <w:rFonts w:asciiTheme="majorHAnsi" w:hAnsiTheme="majorHAnsi"/>
        </w:rPr>
        <w:fldChar w:fldCharType="end"/>
      </w:r>
    </w:p>
  </w:footnote>
  <w:footnote w:id="11">
    <w:p w14:paraId="429C976E"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{"citationItems":[{"id":"ITEM-1","itemData":{"author":[{"dropping-particle":"","family":"William","given":"M","non-dropping-particle":"","parse-names":false,"suffix":""}],"id":"ITEM-1","issued":{"date-parts":[["2017"]]},"title":"The Concept of Social Justice in the Social Sciences, in the Bible, and in Adventism","type":"article"},"uris":["http://www.mendeley.com/documents/?uuid=e259c177-c41a-465d-8555-7e4431519c95","http://www.mendeley.com/documents/?uuid=c205fcf0-919f-4a68-a098-86c3cd0bd254"]}],"mendeley":{"formattedCitation":"M William, “The Concept of Social Justice in the Social Sciences, in the Bible, and in Adventism,” 2017.","manualFormatting":"M William, “The Concept Of Social Justice In The Social Sciences, In The Bible, And In Adventism,” 2017, Https://Doi.Org/10.32597/Jams/Vol13/Iss2/12/.","plainTextFormattedCitation":"M William, “The Concept of Social Justice in the Social Sciences, in the Bible, and in Adventism,” 2017.","previouslyFormattedCitation":"M William, “The Concept of Social Justice in the Social Sciences, in the Bible, and in Adventism,” 2017."},"properties":{"noteIndex":22},"schema":"https://github.com/citation-style-language/schema/raw/master/csl-citation.json"}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M William, “Konsep Keadilan Sosial dalam Ilmu Sosial, dalam Alkitab, dan dalam Adventisme,” 2017, Https://Doi.Org/10.32597/Jams/Vol13/Iss2/12/.</w:t>
      </w:r>
      <w:r w:rsidRPr="005811C8">
        <w:rPr>
          <w:rFonts w:asciiTheme="majorHAnsi" w:hAnsiTheme="majorHAnsi"/>
        </w:rPr>
        <w:fldChar w:fldCharType="end"/>
      </w:r>
    </w:p>
  </w:footnote>
  <w:footnote w:id="12">
    <w:p w14:paraId="0C6A388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{"citationItems":[{"id":"ITEM-1","itemData":{"author":[{"dropping-particle":"","family":"William","given":"M","non-dropping-particle":"","parse-names":false,"suffix":""}],"id":"ITEM-1","issued":{"date-parts":[["2017"]]},"title":"The Concept of Social Justice in the Social Sciences, in the Bible, and in Adventism","type":"article"},"uris":["http://www.mendeley.com/documents/?uuid=e259c177-c41a-465d-8555-7e4431519c95","http://www.mendeley.com/documents/?uuid=c205fcf0-919f-4a68-a098-86c3cd0bd254"]}],"mendeley":{"formattedCitation":"M William, “The Concept of Social Justice in the Social Sciences, in the Bible, and in Adventism,” 2017.","manualFormatting":"M William, “The Concept Of Social Justice In The Social Sciences, In The Bible, And In Adventism,” 2017, Https://Doi.Org/10.32597/Jams/Vol13/Iss2/12/.","plainTextFormattedCitation":"M William, “The Concept of Social Justice in the Social Sciences, in the Bible, and in Adventism,” 2017.","previouslyFormattedCitation":"M William, “The Concept of Social Justice in the Social Sciences, in the Bible, and in Adventism,” 2017."},"properties":{"noteIndex":22},"schema":"https://github.com/citation-style-language/schema/raw/master/csl-citation.json"}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M William, “Konsep Keadilan Sosial dalam Ilmu Sosial, dalam Alkitab, dan dalam Adventisme,” 2017, Https://Doi.Org/10.32597/Jams/Vol13/Iss2/12/.</w:t>
      </w:r>
      <w:r w:rsidRPr="005811C8">
        <w:rPr>
          <w:rFonts w:asciiTheme="majorHAnsi" w:hAnsiTheme="majorHAnsi"/>
        </w:rPr>
        <w:fldChar w:fldCharType="end"/>
      </w:r>
    </w:p>
  </w:footnote>
  <w:footnote w:id="13">
    <w:p w14:paraId="62070CD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Bemmelen","given":"van","non-dropping-particle":"","parse-names":false,"suffix":""},{"dropping-particle":"","family":"Peter","given":"M","non-dropping-particle":"","parse-names":false,"suffix":""}],"container-title":"Journal of the Adventist Theological Society","id":"ITEM-1","issue":"1","issued":{"date-parts":[["2009"]]},"page":"17","title":"Justification by Faith: An Adventist Understanding","type":"article-journal","volume":"20"},"uris":["http://www.mendeley.com/documents/?uuid=a14e5e41-f796-4c0f-91d7-ed024149a6ef","http://www.mendeley.com/documents/?uuid=a7197b3f-9a45-48ab-82d2-f0a47d07edf9"]}],"mendeley":{"formattedCitation":"van Bemmelen and M Peter, “Justification by Faith: An Adventist Understanding,” &lt;i&gt;Journal of the Adventist Theological Society&lt;/i&gt; 20, no. 1 (2009): 17.","manualFormatting":"Van Bemmelen And M Peter, “Justification By Faith: An Adventist Understanding,” Journal Of The Adventist Theological Society 20, No. 1 (2009): 17, Http://Adventistbiblicalresearch.Org/Sites/Default/Files/Pdf/Bemmelen, Justification By Faith.Pdf.","plainTextFormattedCitation":"van Bemmelen and M Peter, “Justification by Faith: An Adventist Understanding,” Journal of the Adventist Theological Society 20, no. 1 (2009): 17.","previouslyFormattedCitation":"van Bemmelen and M Peter, “Justification by Faith: An Adventist Understanding,” &lt;i&gt;Journal of the Adventist Theological Society&lt;/i&gt; 20, no. 1 (2009): 17."},"properties":{"noteIndex":12},"schema":"https://github.com/citation-style-language/schema/raw/master/csl-citation.json"}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Van Bemmelen dan M Peter, “Pembenaran Melalui Iman: Pemahaman Adventis,” </w:t>
      </w:r>
      <w:r w:rsidRPr="005811C8">
        <w:rPr>
          <w:rFonts w:asciiTheme="majorHAnsi" w:hAnsiTheme="majorHAnsi"/>
          <w:i/>
          <w:noProof/>
        </w:rPr>
        <w:t xml:space="preserve">Jurnal Masyarakat Teologi Adventis </w:t>
      </w:r>
      <w:r w:rsidRPr="005811C8">
        <w:rPr>
          <w:rFonts w:asciiTheme="majorHAnsi" w:hAnsiTheme="majorHAnsi"/>
          <w:noProof/>
        </w:rPr>
        <w:t>20, No. 1 (2009): 17, Http://Adventistbiblicalresearch.Org/Sites/Default/Files/Pdf/Bemmelen,JustificationByFaith.Pdf.</w:t>
      </w:r>
      <w:r w:rsidRPr="005811C8">
        <w:rPr>
          <w:rFonts w:asciiTheme="majorHAnsi" w:hAnsiTheme="majorHAnsi"/>
        </w:rPr>
        <w:fldChar w:fldCharType="end"/>
      </w:r>
    </w:p>
  </w:footnote>
  <w:footnote w:id="14">
    <w:p w14:paraId="4383D19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{"citationItems":[{"id":"ITEM-1","itemData":{"author":[{"dropping-particle":"","family":"Wetterlin","given":"C","non-dropping-particle":"","parse-names":false,"suffix":""}],"id":"ITEM-1","issued":{"date-parts":[["2015"]]},"title":"Ellen G. White’s Understanding of Indwelling of the Holy Spirit: A Chronological Study","type":"article"},"uris":["http://www.mendeley.com/documents/?uuid=69413e4a-f0cf-42e3-8801-95f0e3440475","http://www.mendeley.com/documents/?uuid=2c411065-d973-4b99-8738-0d4d12f34031"]}],"mendeley":{"formattedCitation":"C Wetterlin, “Ellen G. White’s Understanding of Indwelling of the Holy Spirit: A Chronological Study,” 2015.","manualFormatting":"C Wetterlin, “Ellen G. White's Understanding Of Indwelling Of The Holy Spirit: A Chronological Study,” 2015, Https://Digitalcommons.Andrews.Edu/Aussj/Vol1/Iss2/5.","plainTextFormattedCitation":"C Wetterlin, “Ellen G. White’s Understanding of Indwelling of the Holy Spirit: A Chronological Study,” 2015.","previouslyFormattedCitation":"C Wetterlin, “Ellen G. White’s Understanding of Indwelling of the Holy Spirit: A Chronological Study,” 2015."},"properties":{"noteIndex":14},"schema":"https://github.com/citation-style-language/schema/raw/master/csl-citation.json"}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C Wetterlin, “Pemahaman Ellen G. White tentang Kehadiran Roh Kudus: Sebuah Studi Kronologis,” 2015, Https://Digitalcommons.Andrews.Edu/Aussj/Vol1/Iss2/5.</w:t>
      </w:r>
      <w:r w:rsidRPr="005811C8">
        <w:rPr>
          <w:rFonts w:asciiTheme="majorHAnsi" w:hAnsiTheme="majorHAnsi"/>
        </w:rPr>
        <w:fldChar w:fldCharType="end"/>
      </w:r>
    </w:p>
  </w:footnote>
  <w:footnote w:id="15">
    <w:p w14:paraId="330B9C7D"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{"citationItems":[{"id":"ITEM-1","itemData":{"author":[{"dropping-particle":"","family":"Galeniece","given":"A M","non-dropping-particle":"","parse-names":false,"suffix":""}],"id":"ITEM-1","issued":{"date-parts":[["2020"]]},"title":"Adventist Education and Its Eschatological Dimension in the Writings of Ellen White","type":"article"},"uris":["http://www.mendeley.com/documents/?uuid=58322682-6f66-4d3d-bb24-625de380985c","http://www.mendeley.com/documents/?uuid=cd3ed562-1ed6-4378-be5c-71740ff2f03c"]}],"mendeley":{"formattedCitation":"A M Galeniece, “Adventist Education and Its Eschatological Dimension in the Writings of Ellen White,” 2020.","manualFormatting":"Galeniece, “Adventist Education And Its Eschatological Dimension In The Writings Of Ellen White.”","plainTextFormattedCitation":"A M Galeniece, “Adventist Education and Its Eschatological Dimension in the Writings of Ellen White,” 2020.","previouslyFormattedCitation":"A M Galeniece, “Adventist Education and Its Eschatological Dimension in the Writings of Ellen White,” 2020."},"properties":{"noteIndex":13},"schema":"https://github.com/citation-style-language/schema/raw/master/csl-citation.json"}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Galeniece, “Pendidikan Advent dan Dimensi Eskatologisnya dalam Tulisan-tulisan Ellen White.”</w:t>
      </w:r>
      <w:r w:rsidRPr="005811C8">
        <w:rPr>
          <w:rFonts w:asciiTheme="majorHAnsi" w:hAnsiTheme="majorHAnsi"/>
        </w:rPr>
        <w:fldChar w:fldCharType="end"/>
      </w:r>
    </w:p>
  </w:footnote>
  <w:footnote w:id="16">
    <w:p w14:paraId="5F7F4811"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{"citationItems":[{"id":"ITEM-1","itemData":{"author":[{"dropping-particle":"","family":"Knight","given":"G R","non-dropping-particle":"","parse-names":false,"suffix":""}],"id":"ITEM-1","issued":{"date-parts":[["2018"]]},"title":"Let Jesus Come In","type":"article"},"uris":["http://www.mendeley.com/documents/?uuid=740ff3c2-527e-4645-94f0-c30f618ee116","http://www.mendeley.com/documents/?uuid=2f2e5bd6-6558-4f10-8a71-d176ef85ca55"]}],"mendeley":{"formattedCitation":"G R Knight, “Let Jesus Come In,” 2018.","plainTextFormattedCitation":"G R Knight, “Let Jesus Come In,” 2018.","previouslyFormattedCitation":"Knight, “Let Jesus Come In.”"},"properties":{"noteIndex":15},"schema":"https://github.com/citation-style-language/schema/raw/master/csl-citation.json"}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GR Knight, “Biarkan Yesus Masuk,” 2018.</w:t>
      </w:r>
      <w:r w:rsidRPr="005811C8">
        <w:rPr>
          <w:rFonts w:asciiTheme="majorHAnsi" w:hAnsiTheme="majorHAnsi"/>
        </w:rPr>
        <w:fldChar w:fldCharType="end"/>
      </w:r>
    </w:p>
  </w:footnote>
  <w:footnote w:id="17">
    <w:p w14:paraId="30FC9A28"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{"citationItems":[{"id":"ITEM-1","itemData":{"author":[{"dropping-particle":"","family":"Davidson","given":"R M","non-dropping-particle":"","parse-names":false,"suffix":""}],"container-title":"Digital Commons - Andrews University","id":"ITEM-1","issue":"2","issued":{"date-parts":[["2007"]]},"page":"4","title":"The Good News of Yom Kippur in Seventh-day Adventist Theology","type":"article-journal","volume":"54"},"uris":["http://www.mendeley.com/documents/?uuid=96d2d832-e586-4a4e-a712-ffd0f2574208","http://www.mendeley.com/documents/?uuid=6863b364-df96-4d33-a14f-595353f52c2d"]}],"mendeley":{"formattedCitation":"R M Davidson, “The Good News of Yom Kippur in Seventh-Day Adventist Theology,” &lt;i&gt;Digital Commons - Andrews University&lt;/i&gt; 54, no. 2 (2007): 4.","manualFormatting":"Rm Davidson, “The Good News Of Yom Kippur In Seventh-Day Adventist Theology,” Digital Commons - Andrews University 54, No. 2 (2007): 4, Https://Digitalcommons.Andrews.Edu/Pubs/1902.","plainTextFormattedCitation":"R M Davidson, “The Good News of Yom Kippur in Seventh-Day Adventist Theology,” Digital Commons - Andrews University 54, no. 2 (2007): 4.","previouslyFormattedCitation":"R M Davidson, “The Good News of Yom Kippur in Seventh-Day Adventist Theology,” &lt;i&gt;Digital Commons - Andrews University&lt;/i&gt; 54, no. 2 (2007): 4."},"properties":{"noteIndex":16},"schema":"https://github.com/citation-style-language/schema/raw/master/csl-citation.json"}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Rm Davidson, “Kabar Baik Yom Kippur dalam Teologi Advent Hari Ketujuh,” </w:t>
      </w:r>
      <w:r w:rsidRPr="005811C8">
        <w:rPr>
          <w:rFonts w:asciiTheme="majorHAnsi" w:hAnsiTheme="majorHAnsi"/>
          <w:i/>
          <w:noProof/>
        </w:rPr>
        <w:t xml:space="preserve">Digital Commons - Andrews University </w:t>
      </w:r>
      <w:r w:rsidRPr="005811C8">
        <w:rPr>
          <w:rFonts w:asciiTheme="majorHAnsi" w:hAnsiTheme="majorHAnsi"/>
          <w:noProof/>
        </w:rPr>
        <w:t>54, No. 2 (2007): 4, Https://Digitalcommons.Andrews.Edu/Pubs/1902.</w:t>
      </w:r>
      <w:r w:rsidRPr="005811C8">
        <w:rPr>
          <w:rFonts w:asciiTheme="majorHAnsi" w:hAnsiTheme="majorHAnsi"/>
        </w:rPr>
        <w:fldChar w:fldCharType="end"/>
      </w:r>
    </w:p>
  </w:footnote>
  <w:footnote w:id="18">
    <w:p w14:paraId="65B2AC2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{"citationItems":[{"id":"ITEM-1","itemData":{"author":[{"dropping-particle":"","family":"Knight","given":"G R","non-dropping-particle":"","parse-names":false,"suffix":""}],"id":"ITEM-1","issued":{"date-parts":[["2018"]]},"title":"Let Jesus Come In","type":"article"},"uris":["http://www.mendeley.com/documents/?uuid=740ff3c2-527e-4645-94f0-c30f618ee116","http://www.mendeley.com/documents/?uuid=2f2e5bd6-6558-4f10-8a71-d176ef85ca55"]}],"mendeley":{"formattedCitation":"Knight, “Let Jesus Come In.”","plainTextFormattedCitation":"Knight, “Let Jesus Come In.”","previouslyFormattedCitation":"Knight, “Let Jesus Come In.”"},"properties":{"noteIndex":17},"schema":"https://github.com/citation-style-language/schema/raw/master/csl-citation.json"}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Knight, “Biarkan Yesus Masuk.”</w:t>
      </w:r>
      <w:r w:rsidRPr="005811C8">
        <w:rPr>
          <w:rFonts w:asciiTheme="majorHAnsi" w:hAnsiTheme="majorHAnsi"/>
        </w:rPr>
        <w:fldChar w:fldCharType="end"/>
      </w:r>
    </w:p>
  </w:footnote>
  <w:footnote w:id="19">
    <w:p w14:paraId="1284044E"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{"citationItems":[{"id":"ITEM-1","itemData":{"author":[{"dropping-particle":"","family":"Hasel","given":"F M","non-dropping-particle":"","parse-names":false,"suffix":""}],"id":"ITEM-1","issued":{"date-parts":[["2010"]]},"title":"Christ’s Substitutionary Death","type":"article"},"uris":["http://www.mendeley.com/documents/?uuid=08cebc28-8213-4bc3-9c3e-dbe29beab31d","http://www.mendeley.com/documents/?uuid=918965a4-a3c4-4fe0-91fc-53035cf4f1c0"]}],"mendeley":{"formattedCitation":"F M Hasel, “Christ’s Substitutionary Death,” 2010.","manualFormatting":"Fm Hasel, “Christ's Substitutionary Death,” 2010, Https://Digitalcommons.Andrews.Edu/Cgi/Viewcontent.Cgi?Article=1144&amp;Context=Pd.","plainTextFormattedCitation":"F M Hasel, “Christ’s Substitutionary Death,” 2010.","previouslyFormattedCitation":"F M Hasel, “Christ’s Substitutionary Death,” 2010."},"properties":{"noteIndex":18},"schema":"https://github.com/citation-style-language/schema/raw/master/csl-citation.json"}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Fm Hasel, “Kematian Pengganti Kristus,” 2010, Https://Digitalcommons.Andrews.Edu/Cgi/Viewcontent.Cgi?Article=1144&amp;Context=Pd.</w:t>
      </w:r>
      <w:r w:rsidRPr="005811C8">
        <w:rPr>
          <w:rFonts w:asciiTheme="majorHAnsi" w:hAnsiTheme="majorHAnsi"/>
        </w:rPr>
        <w:fldChar w:fldCharType="end"/>
      </w:r>
    </w:p>
  </w:footnote>
  <w:footnote w:id="20">
    <w:p w14:paraId="6DA5E286"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{"citationItems":[{"id":"ITEM-1","itemData":{"author":[{"dropping-particle":"","family":"Hellsten","given":"L","non-dropping-particle":"","parse-names":false,"suffix":""}],"id":"ITEM-1","issued":{"date-parts":[["2023"]]},"title":"Ringleaders of Redemption: How Medieval Dance Became Sacred","type":"article"},"uris":["http://www.mendeley.com/documents/?uuid=2b2b19ac-e302-453c-9b1f-bac39a7e6c9d","http://www.mendeley.com/documents/?uuid=e37fa226-f60f-4e4a-9463-2aa2dcb9dc67"]}],"mendeley":{"formattedCitation":"L Hellsten, “Ringleaders of Redemption: How Medieval Dance Became Sacred,” 2023.","manualFormatting":"L Hellsten, “Ringleaders Of Redemption: How Medieval Dance Became Sacred,” 2023, Https://Doi.Org/10.1086/725602.","plainTextFormattedCitation":"L Hellsten, “Ringleaders of Redemption: How Medieval Dance Became Sacred,” 2023.","previouslyFormattedCitation":"L Hellsten, “Ringleaders of Redemption: How Medieval Dance Became Sacred,” 2023."},"properties":{"noteIndex":21},"schema":"https://github.com/citation-style-language/schema/raw/master/csl-citation.json"}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L Hellsten, “Para Pemimpin Penebusan: Bagaimana Tarian Abad Pertengahan Menjadi Sakral,” 2023, Https://Doi.Org/10.1086/725602.</w:t>
      </w:r>
      <w:r w:rsidRPr="005811C8">
        <w:rPr>
          <w:rFonts w:asciiTheme="majorHAnsi" w:hAnsiTheme="majorHAnsi"/>
        </w:rPr>
        <w:fldChar w:fldCharType="end"/>
      </w:r>
    </w:p>
  </w:footnote>
  <w:footnote w:id="21">
    <w:p w14:paraId="0FF025BE"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G","non-dropping-particle":"","parse-names":false,"suffix":""}],"id":"ITEM-1","issued":{"date-parts":[["1892"]]},"publisher":"Review and Herald Publishing Association","publisher-place":"Battle Creek, MI","title":"Steps to Christ","type":"book"},"uris":["http://www.mendeley.com/documents/?uuid=55cc504a-9698-4fda-910a-8bbcc1bc6d7a","http://www.mendeley.com/documents/?uuid=ed776de2-d45d-4496-a184-513e0438ab0f"]}],"mendeley":{"formattedCitation":"White, &lt;i&gt;Steps to Christ&lt;/i&gt;.","manualFormatting":"White, Steps To Christ .","plainTextFormattedCitation":"White, Steps to Christ.","previouslyFormattedCitation":"White, &lt;i&gt;Steps to Christ&lt;/i&gt;."},"properties":{"noteIndex":19},"schema":"https://github.com/citation-style-language/schema/raw/master/csl-citation.json"}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Langkah-langkah Menuju Kristus </w:t>
      </w:r>
      <w:r w:rsidRPr="005811C8">
        <w:rPr>
          <w:rFonts w:asciiTheme="majorHAnsi" w:hAnsiTheme="majorHAnsi"/>
          <w:noProof/>
        </w:rPr>
        <w:t>.</w:t>
      </w:r>
      <w:r w:rsidRPr="005811C8">
        <w:rPr>
          <w:rFonts w:asciiTheme="majorHAnsi" w:hAnsiTheme="majorHAnsi"/>
        </w:rPr>
        <w:fldChar w:fldCharType="end"/>
      </w:r>
    </w:p>
  </w:footnote>
  <w:footnote w:id="22">
    <w:p w14:paraId="0AE4B5A1"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White","type":"thesis"},"uris":["http://www.mendeley.com/documents/?uuid=e04d637c-d267-4873-8ef2-27897f4dc3a4","http://www.mendeley.com/documents/?uuid=b99c9458-d7e3-43d6-8475-b51e910ef168"]}],"mendeley":{"formattedCitation":"Blue, “Union with Christ in the Writings of Ellen G. White.”","manualFormatting":"Blue, “Union With Christ In The Writings Of Ellen G. White.”","plainTextFormattedCitation":"Blue, “Union with Christ in the Writings of Ellen G. White.”","previouslyFormattedCitation":"Blue, “Union with Christ in the Writings of Ellen G. White.”"},"properties":{"noteIndex":20},"schema":"https://github.com/citation-style-language/schema/raw/master/csl-citation.json"}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Biru, “Persatuan dengan Kristus dalam Tulisan-tulisan Ellen G. White.”</w:t>
      </w:r>
      <w:r w:rsidRPr="005811C8">
        <w:rPr>
          <w:rFonts w:asciiTheme="majorHAnsi" w:hAnsiTheme="majorHAnsi"/>
        </w:rPr>
        <w:fldChar w:fldCharType="end"/>
      </w:r>
    </w:p>
  </w:footnote>
  <w:footnote w:id="23">
    <w:p w14:paraId="03189F88"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{"citationItems":[{"id":"ITEM-1","itemData":{"author":[{"dropping-particle":"","family":"Fowler","given":"J","non-dropping-particle":"","parse-names":false,"suffix":""}],"id":"ITEM-1","issued":{"date-parts":[["1977"]]},"title":"The Concept of Character Development in the Writings of Ellen G. White","type":"article"},"uris":["http://www.mendeley.com/documents/?uuid=114a82bd-64b0-471b-b732-015a976f1a7a","http://www.mendeley.com/documents/?uuid=e0a9656a-6054-44ee-bfe7-ddfc5f1090af"]}],"mendeley":{"formattedCitation":"J Fowler, “The Concept of Character Development in the Writings of Ellen G. White,” 1977.","manualFormatting":"Fowler, “The Concept Of Character Development In The Writings Of Ellen G. White.”","plainTextFormattedCitation":"J Fowler, “The Concept of Character Development in the Writings of Ellen G. White,” 1977.","previouslyFormattedCitation":"Fowler, “The Concept of Character Development in the Writings of Ellen G. White.”"},"properties":{"noteIndex":23},"schema":"https://github.com/citation-style-language/schema/raw/master/csl-citation.json"}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Fowler, “Konsep Pengembangan Karakter dalam Karya Tulis Ellen G. White.”</w:t>
      </w:r>
      <w:r w:rsidRPr="005811C8">
        <w:rPr>
          <w:rFonts w:asciiTheme="majorHAnsi" w:hAnsiTheme="majorHAnsi"/>
        </w:rPr>
        <w:fldChar w:fldCharType="end"/>
      </w:r>
    </w:p>
  </w:footnote>
  <w:footnote w:id="24">
    <w:p w14:paraId="62ACE72A"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{"citationItems":[{"id":"ITEM-1","itemData":{"author":[{"dropping-particle":"","family":"Timm","given":"A R","non-dropping-particle":"","parse-names":false,"suffix":""}],"id":"ITEM-1","issued":{"date-parts":[["1995"]]},"title":"The Sanctuary and the Three Angels’ Messages 1844–1863","type":"thesis"},"uris":["http://www.mendeley.com/documents/?uuid=58f7253a-4f8a-4725-b5e4-703bd9c75595","http://www.mendeley.com/documents/?uuid=c79634e3-22cf-4bde-ae11-f377372d6322"]}],"mendeley":{"formattedCitation":"A R Timm, “The Sanctuary and the Three Angels’ Messages 1844–1863,” 1995.","manualFormatting":"Ar Timm, “The Sanctuary And The Three Angels' Messages 1844–1863” (1995).","plainTextFormattedCitation":"A R Timm, “The Sanctuary and the Three Angels’ Messages 1844–1863,” 1995.","previouslyFormattedCitation":"A R Timm, “The Sanctuary and the Three Angels’ Messages 1844–1863,” 1995."},"properties":{"noteIndex":24},"schema":"https://github.com/citation-style-language/schema/raw/master/csl-citation.json"}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Ar Timm, “Tempat Suci dan Pesan Tiga Malaikat 1844–1863” (1995).</w:t>
      </w:r>
      <w:r w:rsidRPr="005811C8">
        <w:rPr>
          <w:rFonts w:asciiTheme="majorHAnsi" w:hAnsiTheme="majorHAnsi"/>
        </w:rPr>
        <w:fldChar w:fldCharType="end"/>
      </w:r>
    </w:p>
  </w:footnote>
  <w:footnote w:id="25">
    <w:p w14:paraId="1E2D306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Bemmelen","given":"van","non-dropping-particle":"","parse-names":false,"suffix":""},{"dropping-particle":"","family":"Peter","given":"M","non-dropping-particle":"","parse-names":false,"suffix":""}],"container-title":"Journal of the Adventist Theological Society","id":"ITEM-1","issue":"1","issued":{"date-parts":[["2009"]]},"page":"17","title":"Justification by Faith: An Adventist Understanding","type":"article-journal","volume":"20"},"uris":["http://www.mendeley.com/documents/?uuid=a7197b3f-9a45-48ab-82d2-f0a47d07edf9","http://www.mendeley.com/documents/?uuid=a14e5e41-f796-4c0f-91d7-ed024149a6ef"]}],"mendeley":{"formattedCitation":"Bemmelen and Peter, “Justification by Faith: An Adventist Understanding.”","manualFormatting":"Bemmelen And Peter, “Justification By Faith: An Adventist Understanding.”","plainTextFormattedCitation":"Bemmelen and Peter, “Justification by Faith: An Adventist Understanding.”","previouslyFormattedCitation":"Bemmelen and Peter, “Justification by Faith: An Adventist Understanding.”"},"properties":{"noteIndex":25},"schema":"https://github.com/citation-style-language/schema/raw/master/csl-citation.json"}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Bemmelen dan Peter, “Pembenaran Melalui Iman: Pemahaman Adventis.”</w:t>
      </w:r>
      <w:r w:rsidRPr="005811C8">
        <w:rPr>
          <w:rFonts w:asciiTheme="majorHAnsi" w:hAnsiTheme="majorHAnsi"/>
        </w:rPr>
        <w:fldChar w:fldCharType="end"/>
      </w:r>
    </w:p>
  </w:footnote>
  <w:footnote w:id="26">
    <w:p w14:paraId="46A66004"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{"citationItems":[{"id":"ITEM-1","itemData":{"author":[{"dropping-particle":"","family":"Davidson","given":"R M","non-dropping-particle":"","parse-names":false,"suffix":""}],"container-title":"Digital Commons - Andrews University","id":"ITEM-1","issue":"2","issued":{"date-parts":[["2007"]]},"page":"4","title":"The Good News of Yom Kippur in Seventh-day Adventist Theology","type":"article-journal","volume":"54"},"uris":["http://www.mendeley.com/documents/?uuid=6863b364-df96-4d33-a14f-595353f52c2d","http://www.mendeley.com/documents/?uuid=96d2d832-e586-4a4e-a712-ffd0f2574208"]}],"mendeley":{"formattedCitation":"Davidson, “The Good News of Yom Kippur in Seventh-Day Adventist Theology.”","manualFormatting":"Davidson, “The Good News Of Yom Kippur In Seventh-Day Adventist Theology.”","plainTextFormattedCitation":"Davidson, “The Good News of Yom Kippur in Seventh-Day Adventist Theology.”","previouslyFormattedCitation":"Davidson, “The Good News of Yom Kippur in Seventh-Day Adventist Theology.”"},"properties":{"noteIndex":26},"schema":"https://github.com/citation-style-language/schema/raw/master/csl-citation.json"}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Davidson, “Kabar Baik Yom Kippur dalam Teologi Advent Hari Ketujuh.”</w:t>
      </w:r>
      <w:r w:rsidRPr="005811C8">
        <w:rPr>
          <w:rFonts w:asciiTheme="majorHAnsi" w:hAnsiTheme="majorHAnsi"/>
        </w:rPr>
        <w:fldChar w:fldCharType="end"/>
      </w:r>
    </w:p>
  </w:footnote>
  <w:footnote w:id="27">
    <w:p w14:paraId="77BE64A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{"citationItems":[{"id":"ITEM-1","itemData":{"author":[{"dropping-particle":"","family":"Hasel","given":"F M","non-dropping-particle":"","parse-names":false,"suffix":""}],"id":"ITEM-1","issued":{"date-parts":[["2010"]]},"title":"Christ’s Substitutionary Death","type":"article"},"uris":["http://www.mendeley.com/documents/?uuid=918965a4-a3c4-4fe0-91fc-53035cf4f1c0","http://www.mendeley.com/documents/?uuid=08cebc28-8213-4bc3-9c3e-dbe29beab31d"]}],"mendeley":{"formattedCitation":"Hasel, “Christ’s Substitutionary Death.”","manualFormatting":"Hasel, “Christ's Substitutionary Death.”","plainTextFormattedCitation":"Hasel, “Christ’s Substitutionary Death.”","previouslyFormattedCitation":"Hasel, “Christ’s Substitutionary Death.”"},"properties":{"noteIndex":27},"schema":"https://github.com/citation-style-language/schema/raw/master/csl-citation.json"}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Hasel, “Kematian Pengganti Kristus.”</w:t>
      </w:r>
      <w:r w:rsidRPr="005811C8">
        <w:rPr>
          <w:rFonts w:asciiTheme="majorHAnsi" w:hAnsiTheme="majorHAnsi"/>
        </w:rPr>
        <w:fldChar w:fldCharType="end"/>
      </w:r>
    </w:p>
  </w:footnote>
  <w:footnote w:id="28">
    <w:p w14:paraId="5E2917EA"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{"citationItems":[{"id":"ITEM-1","itemData":{"author":[{"dropping-particle":"","family":"Wetterlin","given":"C","non-dropping-particle":"","parse-names":false,"suffix":""}],"id":"ITEM-1","issued":{"date-parts":[["2015"]]},"title":"Ellen G. White’s Understanding of Indwelling of the Holy Spirit: A Chronological Study","type":"article"},"uris":["http://www.mendeley.com/documents/?uuid=2c411065-d973-4b99-8738-0d4d12f34031","http://www.mendeley.com/documents/?uuid=69413e4a-f0cf-42e3-8801-95f0e3440475"]}],"mendeley":{"formattedCitation":"Wetterlin, “Ellen G. White’s Understanding of Indwelling of the Holy Spirit: A Chronological Study.”","manualFormatting":"Wetterlin, “Ellen G. White's Understanding Of Indwelling Of The Holy Spirit: A Chronological Study.”","plainTextFormattedCitation":"Wetterlin, “Ellen G. White’s Understanding of Indwelling of the Holy Spirit: A Chronological Study.”","previouslyFormattedCitation":"Wetterlin, “Ellen G. White’s Understanding of Indwelling of the Holy Spirit: A Chronological Study.”"},"properties":{"noteIndex":28},"schema":"https://github.com/citation-style-language/schema/raw/master/csl-citation.json"}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Wetterlin, “Pemahaman Ellen G. White tentang Kehadiran Roh Kudus: Sebuah Studi Kronologis.”</w:t>
      </w:r>
      <w:r w:rsidRPr="005811C8">
        <w:rPr>
          <w:rFonts w:asciiTheme="majorHAnsi" w:hAnsiTheme="majorHAnsi"/>
        </w:rPr>
        <w:fldChar w:fldCharType="end"/>
      </w:r>
    </w:p>
  </w:footnote>
  <w:footnote w:id="29">
    <w:p w14:paraId="6987488B"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{"citationItems":[{"id":"ITEM-1","itemData":{"author":[{"dropping-particle":"","family":"Galeniece","given":"A M","non-dropping-particle":"","parse-names":false,"suffix":""}],"id":"ITEM-1","issued":{"date-parts":[["2020"]]},"title":"Adventist Education and Its Eschatological Dimension in the Writings of Ellen White","type":"article"},"uris":["http://www.mendeley.com/documents/?uuid=58322682-6f66-4d3d-bb24-625de380985c","http://www.mendeley.com/documents/?uuid=cd3ed562-1ed6-4378-be5c-71740ff2f03c"]}],"mendeley":{"formattedCitation":"Galeniece, “Adventist Education and Its Eschatological Dimension in the Writings of Ellen White.”","manualFormatting":"Galeniece, “Adventist Education And Its Eschatological Dimension In The Writings Of Ellen White.”","plainTextFormattedCitation":"Galeniece, “Adventist Education and Its Eschatological Dimension in the Writings of Ellen White.”","previouslyFormattedCitation":"Galeniece, “Adventist Education and Its Eschatological Dimension in the Writings of Ellen White.”"},"properties":{"noteIndex":29},"schema":"https://github.com/citation-style-language/schema/raw/master/csl-citation.json"}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Galeniece, “Pendidikan Advent dan Dimensi Eskatologisnya dalam Tulisan-tulisan Ellen White.”</w:t>
      </w:r>
      <w:r w:rsidRPr="005811C8">
        <w:rPr>
          <w:rFonts w:asciiTheme="majorHAnsi" w:hAnsiTheme="majorHAnsi"/>
        </w:rPr>
        <w:fldChar w:fldCharType="end"/>
      </w:r>
    </w:p>
  </w:footnote>
  <w:footnote w:id="30">
    <w:p w14:paraId="05F6E2DA"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White","type":"thesis"},"uris":["http://www.mendeley.com/documents/?uuid=e04d637c-d267-4873-8ef2-27897f4dc3a4","http://www.mendeley.com/documents/?uuid=b99c9458-d7e3-43d6-8475-b51e910ef168"]}],"mendeley":{"formattedCitation":"Blue, “Union with Christ in the Writings of Ellen G. White.”","manualFormatting":"Blue, “Union With Christ In The Writings Of Ellen G. White.”","plainTextFormattedCitation":"Blue, “Union with Christ in the Writings of Ellen G. White.”","previouslyFormattedCitation":"Blue, “Union with Christ in the Writings of Ellen G. White.”"},"properties":{"noteIndex":31},"schema":"https://github.com/citation-style-language/schema/raw/master/csl-citation.json"}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Biru, “Persatuan dengan Kristus dalam Tulisan-tulisan Ellen G. White.”</w:t>
      </w:r>
      <w:r w:rsidRPr="005811C8">
        <w:rPr>
          <w:rFonts w:asciiTheme="majorHAnsi" w:hAnsiTheme="majorHAnsi"/>
        </w:rPr>
        <w:fldChar w:fldCharType="end"/>
      </w:r>
    </w:p>
  </w:footnote>
  <w:footnote w:id="31">
    <w:p w14:paraId="6B697D50"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{"citationItems":[{"id":"ITEM-1","itemData":{"author":[{"dropping-particle":"","family":"Burt","given":"M D","non-dropping-particle":"","parse-names":false,"suffix":""}],"container-title":"Digital Commons - Andrews University","id":"ITEM-1","issue":"9","issued":{"date-parts":[["2013"]]},"page":"32","title":"Ellen G. White and Adventist Fundamental Beliefs: Her Role in Finalizing Doctrine","type":"article-journal","volume":"9"},"uris":["http://www.mendeley.com/documents/?uuid=a3541498-6386-4463-bf6f-57ff9245508d","http://www.mendeley.com/documents/?uuid=a55af455-3c4d-4585-b84b-38e0743ef583"]}],"mendeley":{"formattedCitation":"M D Burt, “Ellen G. White and Adventist Fundamental Beliefs: Her Role in Finalizing Doctrine,” &lt;i&gt;Digital Commons - Andrews University&lt;/i&gt; 9, no. 9 (2013): 32.","manualFormatting":"Burt, “Ellen G. White And Adventist Fundamental Beliefs: Her Role In Finalizing Doctrine.”","plainTextFormattedCitation":"M D Burt, “Ellen G. White and Adventist Fundamental Beliefs: Her Role in Finalizing Doctrine,” Digital Commons - Andrews University 9, no. 9 (2013): 32.","previouslyFormattedCitation":"M D Burt, “Ellen G. White and Adventist Fundamental Beliefs: Her Role in Finalizing Doctrine,” &lt;i&gt;Digital Commons - Andrews University&lt;/i&gt; 9, no. 9 (2013): 32."},"properties":{"noteIndex":32},"schema":"https://github.com/citation-style-language/schema/raw/master/csl-citation.json"}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Burt, “Ellen G. White dan Keyakinan Fundamental Adventis: Perannya dalam Memfinalisasi Doktrin.”</w:t>
      </w:r>
      <w:r w:rsidRPr="005811C8">
        <w:rPr>
          <w:rFonts w:asciiTheme="majorHAnsi" w:hAnsiTheme="majorHAnsi"/>
        </w:rPr>
        <w:fldChar w:fldCharType="end"/>
      </w:r>
    </w:p>
  </w:footnote>
  <w:footnote w:id="32">
    <w:p w14:paraId="48F9682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G","non-dropping-particle":"","parse-names":false,"suffix":""}],"id":"ITEM-1","issued":{"date-parts":[["1892"]]},"publisher":"Review and Herald Publishing Association","publisher-place":"Battle Creek, MI","title":"Steps to Christ","type":"book"},"uris":["http://www.mendeley.com/documents/?uuid=55cc504a-9698-4fda-910a-8bbcc1bc6d7a","http://www.mendeley.com/documents/?uuid=ed776de2-d45d-4496-a184-513e0438ab0f"]}],"mendeley":{"formattedCitation":"White, &lt;i&gt;Steps to Christ&lt;/i&gt;.","manualFormatting":"White, Steps To Christ .","plainTextFormattedCitation":"White, Steps to Christ.","previouslyFormattedCitation":"White, &lt;i&gt;Steps to Christ&lt;/i&gt;."},"properties":{"noteIndex":33},"schema":"https://github.com/citation-style-language/schema/raw/master/csl-citation.json"}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Langkah-langkah Menuju Kristus </w:t>
      </w:r>
      <w:r w:rsidRPr="005811C8">
        <w:rPr>
          <w:rFonts w:asciiTheme="majorHAnsi" w:hAnsiTheme="majorHAnsi"/>
          <w:noProof/>
        </w:rPr>
        <w:t>.</w:t>
      </w:r>
      <w:r w:rsidRPr="005811C8">
        <w:rPr>
          <w:rFonts w:asciiTheme="majorHAnsi" w:hAnsiTheme="majorHAnsi"/>
        </w:rPr>
        <w:fldChar w:fldCharType="end"/>
      </w:r>
    </w:p>
  </w:footnote>
  <w:footnote w:id="33">
    <w:p w14:paraId="231CED2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{"citationItems":[{"id":"ITEM-1","itemData":{"author":[{"dropping-particle":"","family":"Burt","given":"M D","non-dropping-particle":"","parse-names":false,"suffix":""}],"container-title":"Digital Commons - Andrews University","id":"ITEM-1","issue":"9","issued":{"date-parts":[["2013"]]},"page":"32","title":"Ellen G. White and Adventist Fundamental Beliefs: Her Role in Finalizing Doctrine","type":"article-journal","volume":"9"},"uris":["http://www.mendeley.com/documents/?uuid=a55af455-3c4d-4585-b84b-38e0743ef583","http://www.mendeley.com/documents/?uuid=a3541498-6386-4463-bf6f-57ff9245508d"]}],"mendeley":{"formattedCitation":"Burt, “Ellen G. White and Adventist Fundamental Beliefs: Her Role in Finalizing Doctrine.”","manualFormatting":"Burt, “Ellen G. White And Adventist Fundamental Beliefs: Her Role In Finalizing Doctrine.”","plainTextFormattedCitation":"Burt, “Ellen G. White and Adventist Fundamental Beliefs: Her Role in Finalizing Doctrine.”","previouslyFormattedCitation":"Burt, “Ellen G. White and Adventist Fundamental Beliefs: Her Role in Finalizing Doctrine.”"},"properties":{"noteIndex":34},"schema":"https://github.com/citation-style-language/schema/raw/master/csl-citation.json"}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Burt, “Ellen G. White dan Keyakinan Fundamental Adventis: Perannya dalam Memfinalisasi Doktrin.”</w:t>
      </w:r>
      <w:r w:rsidRPr="005811C8">
        <w:rPr>
          <w:rFonts w:asciiTheme="majorHAnsi" w:hAnsiTheme="majorHAnsi"/>
        </w:rPr>
        <w:fldChar w:fldCharType="end"/>
      </w:r>
    </w:p>
  </w:footnote>
  <w:footnote w:id="34">
    <w:p w14:paraId="27C26388"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{"citationItems":[{"id":"ITEM-1","itemData":{"DOI":"10.32597/dissertations/19/","author":[{"dropping-particle":"","family":"Burt","given":"M D","non-dropping-particle":"","parse-names":false,"suffix":""}],"id":"ITEM-1","issued":{"date-parts":[["2002"]]},"title":"The Historical Background, Interconnected Development and Integration of the Doctrines of the Sanctuary, the Sabbath, and Ellen G. White’s Role in Sabbatarian Adventism from 1844 to 1849","type":"thesis"},"uris":["http://www.mendeley.com/documents/?uuid=38ac4f53-2902-4734-af49-087ae039a68a","http://www.mendeley.com/documents/?uuid=f5899872-37b0-486c-a26b-94f2b4a4f113"]}],"mendeley":{"formattedCitation":"M D Burt, “The Historical Background, Interconnected Development and Integration of the Doctrines of the Sanctuary, the Sabbath, and Ellen G. White’s Role in Sabbatarian Adventism from 1844 to 1849,” 2002.","manualFormatting":"Burt, “The Historical Background, Interconnected Development And Integration Of The Doctrines Of The Sanctuary, The Sabbath, And Ellen G. White's Role In Sabbatarian Adventism From 1844 To 1849.”","plainTextFormattedCitation":"M D Burt, “The Historical Background, Interconnected Development and Integration of the Doctrines of the Sanctuary, the Sabbath, and Ellen G. White’s Role in Sabbatarian Adventism from 1844 to 1849,” 2002.","previouslyFormattedCitation":"Burt, “The Historical Background, Interconnected Development and Integration of the Doctrines of the Sanctuary, the Sabbath, and Ellen G. White’s Role in Sabbatarian Adventism from 1844 to 1849.”"},"properties":{"noteIndex":35},"schema":"https://github.com/citation-style-language/schema/raw/master/csl-citation.json"}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Burt, “Latar Belakang Sejarah, Perkembangan yang Saling Terkait dan Integrasi Doktrin Tempat Kudus, Hari Sabat, dan Peran Ellen G. White dalam Adventisme Sabbatarian dari Tahun 1844 hingga 1849.”</w:t>
      </w:r>
      <w:r w:rsidRPr="005811C8">
        <w:rPr>
          <w:rFonts w:asciiTheme="majorHAnsi" w:hAnsiTheme="majorHAnsi"/>
        </w:rPr>
        <w:fldChar w:fldCharType="end"/>
      </w:r>
    </w:p>
  </w:footnote>
  <w:footnote w:id="35">
    <w:p w14:paraId="67712FFF"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{"citationItems":[{"id":"ITEM-1","itemData":{"author":[{"dropping-particle":"","family":"Fortin","given":"D","non-dropping-particle":"","parse-names":false,"suffix":""}],"id":"ITEM-1","issued":{"date-parts":[["2000"]]},"title":"Ellen G. White’s Conceptual Understanding of the Sanctuary and Hermeneutics","type":"article"},"uris":["http://www.mendeley.com/documents/?uuid=2cc172f5-a711-4cd8-a7a4-480f80b50779","http://www.mendeley.com/documents/?uuid=b64f14e7-bb6c-4413-990b-2e897b62dfa8"]}],"mendeley":{"formattedCitation":"D Fortin, “Ellen G. White’s Conceptual Understanding of the Sanctuary and Hermeneutics,” 2000.","manualFormatting":"D Fortin, “Ellen G. White's Conceptual Understanding Of The Sanctuary And Hermeneutics,” 2000, Https://Digitalcommons.Andrews.Edu/Jats/Vol9/Iss1/16.","plainTextFormattedCitation":"D Fortin, “Ellen G. White’s Conceptual Understanding of the Sanctuary and Hermeneutics,” 2000.","previouslyFormattedCitation":"D Fortin, “Ellen G. White’s Conceptual Understanding of the Sanctuary and Hermeneutics,” 2000."},"properties":{"noteIndex":36},"schema":"https://github.com/citation-style-language/schema/raw/master/csl-citation.json"}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D Fortin, “Pemahaman Konseptual Ellen G. White tentang Tempat Suci dan Hermeneutika,” 2000, Https://Digitalcommons.Andrews.Edu/Jats/Vol9/Iss1/16.</w:t>
      </w:r>
      <w:r w:rsidRPr="005811C8">
        <w:rPr>
          <w:rFonts w:asciiTheme="majorHAnsi" w:hAnsiTheme="majorHAnsi"/>
        </w:rPr>
        <w:fldChar w:fldCharType="end"/>
      </w:r>
    </w:p>
  </w:footnote>
  <w:footnote w:id="36">
    <w:p w14:paraId="7C4B306F"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{"citationItems":[{"id":"ITEM-1","itemData":{"author":[{"dropping-particle":"","family":"Lee","given":"J","non-dropping-particle":"","parse-names":false,"suffix":""}],"id":"ITEM-1","issued":{"date-parts":[["1985"]]},"title":"Faith and Works in Ellen G. White’s Doctrine of the Last Judgment","type":"article"},"uris":["http://www.mendeley.com/documents/?uuid=c0c17067-10df-410a-bdde-b4aaf0666c00","http://www.mendeley.com/documents/?uuid=2a8234bb-8814-4cb7-bc2a-305d0188f9ea"]}],"mendeley":{"formattedCitation":"J Lee, “Faith and Works in Ellen G. White’s Doctrine of the Last Judgment,” 1985.","manualFormatting":"Lee, “Faith And Works In Ellen G. White's Doctrine Of The Last Judgment.”","plainTextFormattedCitation":"J Lee, “Faith and Works in Ellen G. White’s Doctrine of the Last Judgment,” 1985.","previouslyFormattedCitation":"J Lee, “Faith and Works in Ellen G. White’s Doctrine of the Last Judgment,” 1985."},"properties":{"noteIndex":37},"schema":"https://github.com/citation-style-language/schema/raw/master/csl-citation.json"}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Lee, “Iman dan Perbuatan dalam Doktrin Ellen G. White tentang Penghakiman Terakhir.”</w:t>
      </w:r>
      <w:r w:rsidRPr="005811C8">
        <w:rPr>
          <w:rFonts w:asciiTheme="majorHAnsi" w:hAnsiTheme="majorHAnsi"/>
        </w:rPr>
        <w:fldChar w:fldCharType="end"/>
      </w:r>
    </w:p>
  </w:footnote>
  <w:footnote w:id="37">
    <w:p w14:paraId="6B8E1A9E"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{"citationItems":[{"id":"ITEM-1","itemData":{"author":[{"dropping-particle":"","family":"Wetterlin","given":"C","non-dropping-particle":"","parse-names":false,"suffix":""}],"id":"ITEM-1","issued":{"date-parts":[["2015"]]},"title":"Ellen G. White’s Understanding of Indwelling of the Holy Spirit: A Chronological Study","type":"article"},"uris":["http://www.mendeley.com/documents/?uuid=2c411065-d973-4b99-8738-0d4d12f34031","http://www.mendeley.com/documents/?uuid=69413e4a-f0cf-42e3-8801-95f0e3440475"]}],"mendeley":{"formattedCitation":"Wetterlin, “Ellen G. White’s Understanding of Indwelling of the Holy Spirit: A Chronological Study.”","manualFormatting":"Wetterlin, “Ellen G. White's Understanding Of Indwelling Of The Holy Spirit: A Chronological Study.”","plainTextFormattedCitation":"Wetterlin, “Ellen G. White’s Understanding of Indwelling of the Holy Spirit: A Chronological Study.”","previouslyFormattedCitation":"Wetterlin, “Ellen G. White’s Understanding of Indwelling of the Holy Spirit: A Chronological Study.”"},"properties":{"noteIndex":38},"schema":"https://github.com/citation-style-language/schema/raw/master/csl-citation.json"}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Wetterlin, “Pemahaman Ellen G. White tentang Kehadiran Roh Kudus: Sebuah Studi Kronologis.”</w:t>
      </w:r>
      <w:r w:rsidRPr="005811C8">
        <w:rPr>
          <w:rFonts w:asciiTheme="majorHAnsi" w:hAnsiTheme="majorHAnsi"/>
        </w:rPr>
        <w:fldChar w:fldCharType="end"/>
      </w:r>
    </w:p>
  </w:footnote>
  <w:footnote w:id="38">
    <w:p w14:paraId="45A008D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{"citationItems":[{"id":"ITEM-1","itemData":{"author":[{"dropping-particle":"","family":"William","given":"M","non-dropping-particle":"","parse-names":false,"suffix":""}],"id":"ITEM-1","issued":{"date-parts":[["2017"]]},"title":"The Concept of Social Justice in the Social Sciences, in the Bible, and in Adventism","type":"article"},"uris":["http://www.mendeley.com/documents/?uuid=c205fcf0-919f-4a68-a098-86c3cd0bd254","http://www.mendeley.com/documents/?uuid=e259c177-c41a-465d-8555-7e4431519c95"]}],"mendeley":{"formattedCitation":"William, “The Concept of Social Justice in the Social Sciences, in the Bible, and in Adventism.”","manualFormatting":"William, “The Concept Of Social Justice In The Social Sciences, In The Bible, And In Adventism.”","plainTextFormattedCitation":"William, “The Concept of Social Justice in the Social Sciences, in the Bible, and in Adventism.”","previouslyFormattedCitation":"William, “The Concept of Social Justice in the Social Sciences, in the Bible, and in Adventism.”"},"properties":{"noteIndex":39},"schema":"https://github.com/citation-style-language/schema/raw/master/csl-citation.json"}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William, “Konsep Keadilan Sosial dalam Ilmu Sosial, dalam Alkitab, dan dalam Adventisme.”</w:t>
      </w:r>
      <w:r w:rsidRPr="005811C8">
        <w:rPr>
          <w:rFonts w:asciiTheme="majorHAnsi" w:hAnsiTheme="majorHAnsi"/>
        </w:rPr>
        <w:fldChar w:fldCharType="end"/>
      </w:r>
    </w:p>
  </w:footnote>
  <w:footnote w:id="39">
    <w:p w14:paraId="277F500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{"citationItems":[{"id":"ITEM-1","itemData":{"author":[{"dropping-particle":"","family":"Pöhler","given":"R J","non-dropping-particle":"","parse-names":false,"suffix":""}],"id":"ITEM-1","issued":{"date-parts":[["1995"]]},"title":"Change in Seventh-day Adventist Theology: a Study of the Problem of Doctrinal Development","type":"article"},"uris":["http://www.mendeley.com/documents/?uuid=4ebc06e2-729c-480b-9ca9-abb3265efbe5","http://www.mendeley.com/documents/?uuid=d8a0b146-c9f1-44b7-84e4-ac082ca528d5"]}],"mendeley":{"formattedCitation":"R J Pöhler, “Change in Seventh-Day Adventist Theology: A Study of the Problem of Doctrinal Development,” 1995.","manualFormatting":"Pöhler, “Change In Seventh-Day Adventist Theology: A Study Of The Problem Of Doctrinal Development.”","plainTextFormattedCitation":"R J Pöhler, “Change in Seventh-Day Adventist Theology: A Study of the Problem of Doctrinal Development,” 1995.","previouslyFormattedCitation":"R J Pöhler, “Change in Seventh-Day Adventist Theology: A Study of the Problem of Doctrinal Development,” 1995."},"properties":{"noteIndex":40},"schema":"https://github.com/citation-style-language/schema/raw/master/csl-citation.json"}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Pöhler, “Perubahan dalam Teologi Advent Hari Ketujuh: Sebuah Studi tentang Masalah Perkembangan Doktrin.”</w:t>
      </w:r>
      <w:r w:rsidRPr="005811C8">
        <w:rPr>
          <w:rFonts w:asciiTheme="majorHAnsi" w:hAnsiTheme="majorHAnsi"/>
        </w:rPr>
        <w:fldChar w:fldCharType="end"/>
      </w:r>
    </w:p>
  </w:footnote>
  <w:footnote w:id="40">
    <w:p w14:paraId="5A2D2FE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{"citationItems":[{"id":"ITEM-1","itemData":{"DOI":"10.32597/dissertations/19/","author":[{"dropping-particle":"","family":"Burt","given":"M D","non-dropping-particle":"","parse-names":false,"suffix":""}],"id":"ITEM-1","issued":{"date-parts":[["2002"]]},"title":"The Historical Background, Interconnected Development and Integration of the Doctrines of the Sanctuary, the Sabbath, and Ellen G. White’s Role in Sabbatarian Adventism from 1844 to 1849","type":"thesis"},"uris":["http://www.mendeley.com/documents/?uuid=38ac4f53-2902-4734-af49-087ae039a68a","http://www.mendeley.com/documents/?uuid=f5899872-37b0-486c-a26b-94f2b4a4f113"]}],"mendeley":{"formattedCitation":"Burt, “The Historical Background, Interconnected Development and Integration of the Doctrines of the Sanctuary, the Sabbath, and Ellen G. White’s Role in Sabbatarian Adventism from 1844 to 1849.”","manualFormatting":"Burt, “The Historical Background, Interconnected Development And Integration Of The Doctrines Of The Sanctuary, The Sabbath, And Ellen G. White's Role In Sabbatarian Adventism From 1844 To 1849.”","plainTextFormattedCitation":"Burt, “The Historical Background, Interconnected Development and Integration of the Doctrines of the Sanctuary, the Sabbath, and Ellen G. White’s Role in Sabbatarian Adventism from 1844 to 1849.”","previouslyFormattedCitation":"Burt, “The Historical Background, Interconnected Development and Integration of the Doctrines of the Sanctuary, the Sabbath, and Ellen G. White’s Role in Sabbatarian Adventism from 1844 to 1849.”"},"properties":{"noteIndex":41},"schema":"https://github.com/citation-style-language/schema/raw/master/csl-citation.json"}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Burt, “Latar Belakang Sejarah, Perkembangan yang Saling Terkait dan Integrasi Doktrin Tempat Kudus, Hari Sabat, dan Peran Ellen G. White dalam Adventisme Sabbatarian dari Tahun 1844 hingga 1849.”</w:t>
      </w:r>
      <w:r w:rsidRPr="005811C8">
        <w:rPr>
          <w:rFonts w:asciiTheme="majorHAnsi" w:hAnsiTheme="majorHAnsi"/>
        </w:rPr>
        <w:fldChar w:fldCharType="end"/>
      </w:r>
    </w:p>
  </w:footnote>
  <w:footnote w:id="41">
    <w:p w14:paraId="129355D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{"citationItems":[{"id":"ITEM-1","itemData":{"author":[{"dropping-particle":"","family":"Wetterlin","given":"C","non-dropping-particle":"","parse-names":false,"suffix":""}],"id":"ITEM-1","issued":{"date-parts":[["2015"]]},"title":"Ellen G. White’s Understanding of Indwelling of the Holy Spirit: A Chronological Study","type":"article"},"uris":["http://www.mendeley.com/documents/?uuid=2c411065-d973-4b99-8738-0d4d12f34031","http://www.mendeley.com/documents/?uuid=69413e4a-f0cf-42e3-8801-95f0e3440475"]}],"mendeley":{"formattedCitation":"Wetterlin, “Ellen G. White’s Understanding of Indwelling of the Holy Spirit: A Chronological Study.”","manualFormatting":"Wetterlin, “Ellen G. White's Understanding Of Indwelling Of The Holy Spirit: A Chronological Study.”","plainTextFormattedCitation":"Wetterlin, “Ellen G. White’s Understanding of Indwelling of the Holy Spirit: A Chronological Study.”","previouslyFormattedCitation":"Wetterlin, “Ellen G. White’s Understanding of Indwelling of the Holy Spirit: A Chronological Study.”"},"properties":{"noteIndex":42},"schema":"https://github.com/citation-style-language/schema/raw/master/csl-citation.json"}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Wetterlin, “Pemahaman Ellen G. White tentang Kehadiran Roh Kudus: Sebuah Studi Kronologis.”</w:t>
      </w:r>
      <w:r w:rsidRPr="005811C8">
        <w:rPr>
          <w:rFonts w:asciiTheme="majorHAnsi" w:hAnsiTheme="majorHAnsi"/>
        </w:rPr>
        <w:fldChar w:fldCharType="end"/>
      </w:r>
    </w:p>
  </w:footnote>
  <w:footnote w:id="42">
    <w:p w14:paraId="3951A174"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{"citationItems":[{"id":"ITEM-1","itemData":{"author":[{"dropping-particle":"","family":"Lee","given":"J","non-dropping-particle":"","parse-names":false,"suffix":""}],"id":"ITEM-1","issued":{"date-parts":[["1985"]]},"title":"Faith and Works in Ellen G. White’s Doctrine of the Last Judgment","type":"article"},"uris":["http://www.mendeley.com/documents/?uuid=c0c17067-10df-410a-bdde-b4aaf0666c00","http://www.mendeley.com/documents/?uuid=2a8234bb-8814-4cb7-bc2a-305d0188f9ea"]}],"mendeley":{"formattedCitation":"Lee, “Faith and Works in Ellen G. White’s Doctrine of the Last Judgment.”","manualFormatting":"Lee, “Faith And Works In Ellen G. White's Doctrine Of The Last Judgment.”","plainTextFormattedCitation":"Lee, “Faith and Works in Ellen G. White’s Doctrine of the Last Judgment.”","previouslyFormattedCitation":"Lee, “Faith and Works in Ellen G. White’s Doctrine of the Last Judgment.”"},"properties":{"noteIndex":43},"schema":"https://github.com/citation-style-language/schema/raw/master/csl-citation.json"}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Lee, “Iman dan Perbuatan dalam Doktrin Ellen G. White tentang Penghakiman Terakhir.”</w:t>
      </w:r>
      <w:r w:rsidRPr="005811C8">
        <w:rPr>
          <w:rFonts w:asciiTheme="majorHAnsi" w:hAnsiTheme="majorHAnsi"/>
        </w:rPr>
        <w:fldChar w:fldCharType="end"/>
      </w:r>
    </w:p>
  </w:footnote>
  <w:footnote w:id="43">
    <w:p w14:paraId="0BABB264"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{"citationItems":[{"id":"ITEM-1","itemData":{"author":[{"dropping-particle":"","family":"Fortin","given":"D","non-dropping-particle":"","parse-names":false,"suffix":""}],"id":"ITEM-1","issued":{"date-parts":[["2000"]]},"title":"Ellen G. White’s Conceptual Understanding of the Sanctuary and Hermeneutics","type":"article"},"uris":["http://www.mendeley.com/documents/?uuid=b64f14e7-bb6c-4413-990b-2e897b62dfa8","http://www.mendeley.com/documents/?uuid=2cc172f5-a711-4cd8-a7a4-480f80b50779"]}],"mendeley":{"formattedCitation":"Fortin, “Ellen G. White’s Conceptual Understanding of the Sanctuary and Hermeneutics.”","manualFormatting":"Fortin, “Ellen G. White's Conceptual Understanding Of The Sanctuary And Hermeneutics.”","plainTextFormattedCitation":"Fortin, “Ellen G. White’s Conceptual Understanding of the Sanctuary and Hermeneutics.”","previouslyFormattedCitation":"Fortin, “Ellen G. White’s Conceptual Understanding of the Sanctuary and Hermeneutics.”"},"properties":{"noteIndex":44},"schema":"https://github.com/citation-style-language/schema/raw/master/csl-citation.json"}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Fortin, “Pemahaman Konseptual Ellen G. White tentang Tempat Suci dan Hermeneutika.”</w:t>
      </w:r>
      <w:r w:rsidRPr="005811C8">
        <w:rPr>
          <w:rFonts w:asciiTheme="majorHAnsi" w:hAnsiTheme="majorHAnsi"/>
        </w:rPr>
        <w:fldChar w:fldCharType="end"/>
      </w:r>
    </w:p>
  </w:footnote>
  <w:footnote w:id="44">
    <w:p w14:paraId="54E7523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{"citationItems":[{"id":"ITEM-1","itemData":{"author":[{"dropping-particle":"","family":"Harwood  B.","given":"G H.; Beem","non-dropping-particle":"","parse-names":false,"suffix":""}],"id":"ITEM-1","issued":{"date-parts":[["2019"]]},"title":"Study to Show Thyself Approved: Seventh-day Adventism’s Legacy of Careful Biblical Scholarship","type":"article"},"uris":["http://www.mendeley.com/documents/?uuid=62d1a016-62a9-4c2f-ba59-c824be8bd811","http://www.mendeley.com/documents/?uuid=2090c8f6-8071-4a8a-8762-572151657366"]}],"mendeley":{"formattedCitation":"G H.; Beem Harwood  B., “Study to Show Thyself Approved: Seventh-Day Adventism’s Legacy of Careful Biblical Scholarship,” 2019.","manualFormatting":"G H.; Beem Harwood B., “Study To Show Thyself Approved: Seventh-Day Adventism's Legacy Of Careful Biblical Scholarship,” 2019, Https://Digitalcommons.Andrews.Edu/Auss/Vol57/Iss1/7/.","plainTextFormattedCitation":"G H.; Beem Harwood  B., “Study to Show Thyself Approved: Seventh-Day Adventism’s Legacy of Careful Biblical Scholarship,” 2019.","previouslyFormattedCitation":"G H.; Beem Harwood  B., “Study to Show Thyself Approved: Seventh-Day Adventism’s Legacy of Careful Biblical Scholarship,” 2019."},"properties":{"noteIndex":45},"schema":"https://github.com/citation-style-language/schema/raw/master/csl-citation.json"}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G H.; Beem Harwood B., “Belajarlah untuk Menunjukkan Dirimu Layak Diperkenankan: Warisan Adventisme Hari Ketujuh tentang Kajian Alkitab yang Cermat,” 2019, Https://Digitalcommons.Andrews.Edu/Auss/Vol57/Iss1/7/.</w:t>
      </w:r>
      <w:r w:rsidRPr="005811C8">
        <w:rPr>
          <w:rFonts w:asciiTheme="majorHAnsi" w:hAnsiTheme="majorHAnsi"/>
        </w:rPr>
        <w:fldChar w:fldCharType="end"/>
      </w:r>
    </w:p>
  </w:footnote>
  <w:footnote w:id="45">
    <w:p w14:paraId="494AB29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{"citationItems":[{"id":"ITEM-1","itemData":{"author":[{"dropping-particle":"","family":"Hall","given":"K D","non-dropping-particle":"","parse-names":false,"suffix":""}],"id":"ITEM-1","issued":{"date-parts":[["2017"]]},"title":"Jonathan Edwards and Sanctification: The Pursuit of Happiness Found in Union and Obedience","type":"article"},"uris":["http://www.mendeley.com/documents/?uuid=6ee556f8-4b81-4c7d-9095-f3baba2cfe2f","http://www.mendeley.com/documents/?uuid=3adf9ddb-84e3-47ca-89b7-20656cb8654b"]}],"mendeley":{"formattedCitation":"Hall, “Jonathan Edwards and Sanctification: The Pursuit of Happiness Found in Union and Obedience.”","manualFormatting":"Hall, “Jonathan Edwards And Sanctification: The Pursuit Of Happiness Found In Union And Obedience.”","plainTextFormattedCitation":"Hall, “Jonathan Edwards and Sanctification: The Pursuit of Happiness Found in Union and Obedience.”","previouslyFormattedCitation":"Hall, “Jonathan Edwards and Sanctification: The Pursuit of Happiness Found in Union and Obedience.”"},"properties":{"noteIndex":46},"schema":"https://github.com/citation-style-language/schema/raw/master/csl-citation.json"}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Hall, “Jonathan Edwards dan Pengudusan: Pencarian Kebahagiaan yang Ditemukan dalam Persatuan dan Ketaatan.”</w:t>
      </w:r>
      <w:r w:rsidRPr="005811C8">
        <w:rPr>
          <w:rFonts w:asciiTheme="majorHAnsi" w:hAnsiTheme="majorHAnsi"/>
        </w:rPr>
        <w:fldChar w:fldCharType="end"/>
      </w:r>
    </w:p>
  </w:footnote>
  <w:footnote w:id="46">
    <w:p w14:paraId="51B15EA9"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G","non-dropping-particle":"","parse-names":false,"suffix":""}],"id":"ITEM-1","issued":{"date-parts":[["1882"]]},"publisher":"Review and Herald Publishing Association","publisher-place":"Battle Creek, MI","title":"Bible Sanctification","type":"book"},"uris":["http://www.mendeley.com/documents/?uuid=6314d5fc-7237-43fe-8b9e-dba64cd69ac6","http://www.mendeley.com/documents/?uuid=5d8f273e-bec7-43dd-be3b-1d9cdfc88620"]}],"mendeley":{"formattedCitation":"White, &lt;i&gt;Bible Sanctification&lt;/i&gt;.","manualFormatting":"White, Bible Sanctification .","plainTextFormattedCitation":"White, Bible Sanctification.","previouslyFormattedCitation":"White, &lt;i&gt;Bible Sanctification&lt;/i&gt;."},"properties":{"noteIndex":47},"schema":"https://github.com/citation-style-language/schema/raw/master/csl-citation.json"}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Pengudusan Alkitab </w:t>
      </w:r>
      <w:r w:rsidRPr="005811C8">
        <w:rPr>
          <w:rFonts w:asciiTheme="majorHAnsi" w:hAnsiTheme="majorHAnsi"/>
          <w:noProof/>
        </w:rPr>
        <w:t>.</w:t>
      </w:r>
      <w:r w:rsidRPr="005811C8">
        <w:rPr>
          <w:rFonts w:asciiTheme="majorHAnsi" w:hAnsiTheme="majorHAnsi"/>
        </w:rPr>
        <w:fldChar w:fldCharType="end"/>
      </w:r>
    </w:p>
  </w:footnote>
  <w:footnote w:id="47">
    <w:p w14:paraId="1C894826"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G","non-dropping-particle":"","parse-names":false,"suffix":""}],"id":"ITEM-1","issued":{"date-parts":[["1882"]]},"publisher":"Review and Herald Publishing Association","publisher-place":"Battle Creek, MI","title":"Bible Sanctification","type":"book"},"uris":["http://www.mendeley.com/documents/?uuid=6314d5fc-7237-43fe-8b9e-dba64cd69ac6","http://www.mendeley.com/documents/?uuid=5d8f273e-bec7-43dd-be3b-1d9cdfc88620"]}],"mendeley":{"formattedCitation":"Ibid.","plainTextFormattedCitation":"Ibid.","previouslyFormattedCitation":"Ibid."},"properties":{"noteIndex":48},"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Ibid.</w:t>
      </w:r>
      <w:r w:rsidRPr="005811C8">
        <w:rPr>
          <w:rFonts w:asciiTheme="majorHAnsi" w:hAnsiTheme="majorHAnsi"/>
        </w:rPr>
        <w:fldChar w:fldCharType="end"/>
      </w:r>
    </w:p>
  </w:footnote>
  <w:footnote w:id="48">
    <w:p w14:paraId="59A1899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G","non-dropping-particle":"","parse-names":false,"suffix":""}],"id":"ITEM-1","issued":{"date-parts":[["1882"]]},"publisher":"Review and Herald Publishing Association","publisher-place":"Battle Creek, MI","title":"Bible Sanctification","type":"book"},"uris":["http://www.mendeley.com/documents/?uuid=6314d5fc-7237-43fe-8b9e-dba64cd69ac6","http://www.mendeley.com/documents/?uuid=5d8f273e-bec7-43dd-be3b-1d9cdfc88620"]}],"mendeley":{"formattedCitation":"Ibid.","manualFormatting":"White, Bible Sanctification .","plainTextFormattedCitation":"Ibid.","previouslyFormattedCitation":"Ibid."},"properties":{"noteIndex":49},"schema":"https://github.com/citation-style-language/schema/raw/master/csl-citation.json"}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Pengudusan Alkitab </w:t>
      </w:r>
      <w:r w:rsidRPr="005811C8">
        <w:rPr>
          <w:rFonts w:asciiTheme="majorHAnsi" w:hAnsiTheme="majorHAnsi"/>
          <w:noProof/>
        </w:rPr>
        <w:t>.</w:t>
      </w:r>
      <w:r w:rsidRPr="005811C8">
        <w:rPr>
          <w:rFonts w:asciiTheme="majorHAnsi" w:hAnsiTheme="majorHAnsi"/>
        </w:rPr>
        <w:fldChar w:fldCharType="end"/>
      </w:r>
    </w:p>
  </w:footnote>
  <w:footnote w:id="49">
    <w:p w14:paraId="2528FB2B"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White","type":"thesis"},"uris":["http://www.mendeley.com/documents/?uuid=e04d637c-d267-4873-8ef2-27897f4dc3a4","http://www.mendeley.com/documents/?uuid=b99c9458-d7e3-43d6-8475-b51e910ef168"]}],"mendeley":{"formattedCitation":"Blue, “Union with Christ in the Writings of Ellen G. White.”","manualFormatting":"Blue, “Union With Christ In The Writings Of Ellen G. White.”","plainTextFormattedCitation":"Blue, “Union with Christ in the Writings of Ellen G. White.”","previouslyFormattedCitation":"Blue, “Union with Christ in the Writings of Ellen G. White.”"},"properties":{"noteIndex":50},"schema":"https://github.com/citation-style-language/schema/raw/master/csl-citation.json"}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Biru, “Persatuan dengan Kristus dalam Tulisan-tulisan Ellen G. White.”</w:t>
      </w:r>
      <w:r w:rsidRPr="005811C8">
        <w:rPr>
          <w:rFonts w:asciiTheme="majorHAnsi" w:hAnsiTheme="majorHAnsi"/>
        </w:rPr>
        <w:fldChar w:fldCharType="end"/>
      </w:r>
    </w:p>
  </w:footnote>
  <w:footnote w:id="50">
    <w:p w14:paraId="30385DC4"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G","non-dropping-particle":"","parse-names":false,"suffix":""}],"id":"ITEM-1","issued":{"date-parts":[["1892"]]},"publisher":"Review and Herald Publishing Association","publisher-place":"Battle Creek, MI","title":"Steps to Christ","type":"book"},"uris":["http://www.mendeley.com/documents/?uuid=55cc504a-9698-4fda-910a-8bbcc1bc6d7a","http://www.mendeley.com/documents/?uuid=ed776de2-d45d-4496-a184-513e0438ab0f"]}],"mendeley":{"formattedCitation":"White, &lt;i&gt;Steps to Christ&lt;/i&gt;.","manualFormatting":"White, Steps To Christ .","plainTextFormattedCitation":"White, Steps to Christ.","previouslyFormattedCitation":"White, &lt;i&gt;Steps to Christ&lt;/i&gt;."},"properties":{"noteIndex":51},"schema":"https://github.com/citation-style-language/schema/raw/master/csl-citation.json"}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Langkah-langkah Menuju Kristus </w:t>
      </w:r>
      <w:r w:rsidRPr="005811C8">
        <w:rPr>
          <w:rFonts w:asciiTheme="majorHAnsi" w:hAnsiTheme="majorHAnsi"/>
          <w:noProof/>
        </w:rPr>
        <w:t>.</w:t>
      </w:r>
      <w:r w:rsidRPr="005811C8">
        <w:rPr>
          <w:rFonts w:asciiTheme="majorHAnsi" w:hAnsiTheme="majorHAnsi"/>
        </w:rPr>
        <w:fldChar w:fldCharType="end"/>
      </w:r>
    </w:p>
  </w:footnote>
  <w:footnote w:id="51">
    <w:p w14:paraId="7D71E411"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{"citationItems":[{"id":"ITEM-1","itemData":{"author":[{"dropping-particle":"","family":"Galdino","given":"M","non-dropping-particle":"","parse-names":false,"suffix":""}],"id":"ITEM-1","issued":{"date-parts":[["2017"]]},"title":"El papel del misionerismo en la configuración del imaginario social de los Adventistas del Séptimo Día","type":"article"},"uris":["http://www.mendeley.com/documents/?uuid=80a59892-a846-4943-b206-fe6d497dad76","http://www.mendeley.com/documents/?uuid=08fcd37a-3a9f-4045-a2ce-8b1f817cdb71"]}],"mendeley":{"formattedCitation":"M Galdino, “El Papel Del Misionerismo En La Configuración Del Imaginario Social de Los Adventistas Del Séptimo Día,” 2017.","manualFormatting":"Galdino, “El Papel Del Misionerismo En La Configuración Del Imaginario Social De Los Adventistas Del Séptimo Día.”","plainTextFormattedCitation":"M Galdino, “El Papel Del Misionerismo En La Configuración Del Imaginario Social de Los Adventistas Del Séptimo Día,” 2017.","previouslyFormattedCitation":"M Galdino, “El Papel Del Misionerismo En La Configuración Del Imaginario Social de Los Adventistas Del Séptimo Día,” 2017."},"properties":{"noteIndex":52},"schema":"https://github.com/citation-style-language/schema/raw/master/csl-citation.json"}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Galdino, “El Papel Del Misionerismo En La Configuración Del Imaginario Social De Los Adventistas Del Séptimo Día.”</w:t>
      </w:r>
      <w:r w:rsidRPr="005811C8">
        <w:rPr>
          <w:rFonts w:asciiTheme="majorHAnsi" w:hAnsiTheme="majorHAnsi"/>
        </w:rPr>
        <w:fldChar w:fldCharType="end"/>
      </w:r>
    </w:p>
  </w:footnote>
  <w:footnote w:id="52">
    <w:p w14:paraId="15476567"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{"citationItems":[{"id":"ITEM-1","itemData":{"DOI":"10.32597/dissertations/170/","author":[{"dropping-particle":"","family":"Zackrison","given":"E","non-dropping-particle":"","parse-names":false,"suffix":""}],"id":"ITEM-1","issued":{"date-parts":[["1984"]]},"title":"Seventh-day Adventists and Original Sin: a Study of the Early Development of the Seventh-day Adventist Understanding of the Effect of Adam’s Sin on His Posterity","type":"thesis"},"uris":["http://www.mendeley.com/documents/?uuid=c30737d2-bd93-4659-a76e-4391ec6d6801","http://www.mendeley.com/documents/?uuid=6ea0792b-34f6-44c6-a59f-86b88cb105dc"]}],"mendeley":{"formattedCitation":"E Zackrison, “Seventh-Day Adventists and Original Sin: A Study of the Early Development of the Seventh-Day Adventist Understanding of the Effect of Adam’s Sin on His Posterity,” 1984.","manualFormatting":"E Zackrison, “Seventh-Day Adventists And Original Sin: A Study Of The Early Development Of The Seventh-Day Adventist Understanding Of The Effect Of Adam's Sin On His Posterity” (1984), Https://Doi.Org/10.32597/Dissertations/170/.","plainTextFormattedCitation":"E Zackrison, “Seventh-Day Adventists and Original Sin: A Study of the Early Development of the Seventh-Day Adventist Understanding of the Effect of Adam’s Sin on His Posterity,” 1984.","previouslyFormattedCitation":"E Zackrison, “Seventh-Day Adventists and Original Sin: A Study of the Early Development of the Seventh-Day Adventist Understanding of the Effect of Adam’s Sin on His Posterity,” 1984."},"properties":{"noteIndex":53},"schema":"https://github.com/citation-style-language/schema/raw/master/csl-citation.json"}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E Zackrison, “Gereja Advent Hari Ketujuh dan Dosa Asal: Sebuah Studi tentang Perkembangan Awal Pemahaman Gereja Advent Hari Ketujuh tentang Dampak Dosa Adam pada Keturunannya” (1984), Https://Doi.Org/10.32597/Dissertations/170/.</w:t>
      </w:r>
      <w:r w:rsidRPr="005811C8">
        <w:rPr>
          <w:rFonts w:asciiTheme="majorHAnsi" w:hAnsiTheme="majorHAnsi"/>
        </w:rPr>
        <w:fldChar w:fldCharType="end"/>
      </w:r>
    </w:p>
  </w:footnote>
  <w:footnote w:id="53">
    <w:p w14:paraId="6F09D26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{"citationItems":[{"id":"ITEM-1","itemData":{"author":[{"dropping-particle":"","family":"Stefánsson  T. D.","given":"J H.; Robertson","non-dropping-particle":"","parse-names":false,"suffix":""}],"id":"ITEM-1","issued":{"date-parts":[["2015"]]},"title":"Seventh-day Adventist Dissertations and Theses in Religion","type":"article"},"uris":["http://www.mendeley.com/documents/?uuid=58ce06f7-5a16-4be8-aaed-fbff70672ab0","http://www.mendeley.com/documents/?uuid=1dad0799-6ad0-4b96-9c36-2bf5534e0c6a"]}],"mendeley":{"formattedCitation":"J H.; Robertson Stefánsson  T. D., “Seventh-Day Adventist Dissertations and Theses in Religion,” 2015.","manualFormatting":"Stefánsson Td, “Seventh-Day Adventist Dissertations And Theses In Religion.”","plainTextFormattedCitation":"J H.; Robertson Stefánsson  T. D., “Seventh-Day Adventist Dissertations and Theses in Religion,” 2015.","previouslyFormattedCitation":"J H.; Robertson Stefánsson  T. D., “Seventh-Day Adventist Dissertations and Theses in Religion,” 2015."},"properties":{"noteIndex":55},"schema":"https://github.com/citation-style-language/schema/raw/master/csl-citation.json"}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Stefánsson Td, “Disertasi dan Tesis Agama Gereja Advent Hari Ketujuh.”</w:t>
      </w:r>
      <w:r w:rsidRPr="005811C8">
        <w:rPr>
          <w:rFonts w:asciiTheme="majorHAnsi" w:hAnsiTheme="majorHAnsi"/>
        </w:rPr>
        <w:fldChar w:fldCharType="end"/>
      </w:r>
    </w:p>
  </w:footnote>
  <w:footnote w:id="54">
    <w:p w14:paraId="66D94C7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{"citationItems":[{"id":"ITEM-1","itemData":{"author":[{"dropping-particle":"","family":"White","given":"","non-dropping-particle":"","parse-names":false,"suffix":""}],"id":"ITEM-1","issued":{"date-parts":[["1958"]]},"publisher":"Pacific Press","publisher-place":"Mountain View, CA","title":"The Story of Patriarchs and Prophets","type":"book"},"uris":["http://www.mendeley.com/documents/?uuid=25ff9e57-cbab-457d-b0e4-baee8fe572c3","http://www.mendeley.com/documents/?uuid=8f8c3490-4a96-417a-8743-bdffb33e8af6"]}],"mendeley":{"formattedCitation":"White, &lt;i&gt;The Story of Patriarchs and Prophets&lt;/i&gt; (Mountain View, CA: Pacific Press, 1958).","manualFormatting":"White, The Story Of Patriarchs And Prophets (Mountain View, Ca: Pacific Press, 1958).","plainTextFormattedCitation":"White, The Story of Patriarchs and Prophets (Mountain View, CA: Pacific Press, 1958).","previouslyFormattedCitation":"White, &lt;i&gt;The Story of Patriarchs and Prophets&lt;/i&gt; (Mountain View, CA: Pacific Press, 1958)."},"properties":{"noteIndex":54},"schema":"https://github.com/citation-style-language/schema/raw/master/csl-citation.json"}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White, </w:t>
      </w:r>
      <w:r w:rsidRPr="005811C8">
        <w:rPr>
          <w:rFonts w:asciiTheme="majorHAnsi" w:hAnsiTheme="majorHAnsi"/>
          <w:i/>
          <w:noProof/>
        </w:rPr>
        <w:t xml:space="preserve">Kisah Para Patriark dan Nabi </w:t>
      </w:r>
      <w:r w:rsidRPr="005811C8">
        <w:rPr>
          <w:rFonts w:asciiTheme="majorHAnsi" w:hAnsiTheme="majorHAnsi"/>
          <w:noProof/>
        </w:rPr>
        <w:t>(Mountain View, Ca: Pacific Press, 1958).</w:t>
      </w:r>
      <w:r w:rsidRPr="005811C8">
        <w:rPr>
          <w:rFonts w:asciiTheme="majorHAnsi" w:hAnsiTheme="majorHAnsi"/>
        </w:rPr>
        <w:fldChar w:fldCharType="end"/>
      </w:r>
    </w:p>
  </w:footnote>
  <w:footnote w:id="55">
    <w:p w14:paraId="3956B70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{"citationItems":[{"id":"ITEM-1","itemData":{"author":[{"dropping-particle":"","family":"White","given":"Ellen G","non-dropping-particle":"","parse-names":false,"suffix":""}],"id":"ITEM-1","issued":{"date-parts":[["1882"]]},"publisher":"Review and Herald Publishing Association","publisher-place":"Battle Creek, MI","title":"Bible Sanctification","type":"book"},"uris":["http://www.mendeley.com/documents/?uuid=6314d5fc-7237-43fe-8b9e-dba64cd69ac6","http://www.mendeley.com/documents/?uuid=5d8f273e-bec7-43dd-be3b-1d9cdfc88620"]}],"mendeley":{"formattedCitation":"White, &lt;i&gt;Bible Sanctification&lt;/i&gt;.","manualFormatting":"White, Bible Sanctification .","plainTextFormattedCitation":"White, Bible Sanctification.","previouslyFormattedCitation":"White, &lt;i&gt;Bible Sanctification&lt;/i&gt;."},"properties":{"noteIndex":56},"schema":"https://github.com/citation-style-language/schema/raw/master/csl-citation.json"}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Putih, </w:t>
      </w:r>
      <w:r w:rsidRPr="005811C8">
        <w:rPr>
          <w:rFonts w:asciiTheme="majorHAnsi" w:hAnsiTheme="majorHAnsi"/>
          <w:i/>
          <w:noProof/>
        </w:rPr>
        <w:t xml:space="preserve">Pengudusan Alkitab </w:t>
      </w:r>
      <w:r w:rsidRPr="005811C8">
        <w:rPr>
          <w:rFonts w:asciiTheme="majorHAnsi" w:hAnsiTheme="majorHAnsi"/>
          <w:noProof/>
        </w:rPr>
        <w:t>.</w:t>
      </w:r>
      <w:r w:rsidRPr="005811C8">
        <w:rPr>
          <w:rFonts w:asciiTheme="majorHAnsi" w:hAnsiTheme="majorHAnsi"/>
        </w:rPr>
        <w:fldChar w:fldCharType="end"/>
      </w:r>
    </w:p>
  </w:footnote>
  <w:footnote w:id="56">
    <w:p w14:paraId="4EB7C2C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White","type":"thesis"},"uris":["http://www.mendeley.com/documents/?uuid=e04d637c-d267-4873-8ef2-27897f4dc3a4","http://www.mendeley.com/documents/?uuid=b99c9458-d7e3-43d6-8475-b51e910ef168"]}],"mendeley":{"formattedCitation":"Blue, “Union with Christ in the Writings of Ellen G. White.”","manualFormatting":"Blue, “Union With Christ In The Writings Of Ellen G. White.”","plainTextFormattedCitation":"Blue, “Union with Christ in the Writings of Ellen G. White.”","previouslyFormattedCitation":"Blue, “Union with Christ in the Writings of Ellen G. White.”"},"properties":{"noteIndex":61},"schema":"https://github.com/citation-style-language/schema/raw/master/csl-citation.json"}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Biru, “Persatuan dengan Kristus dalam Tulisan-tulisan Ellen G. White.”</w:t>
      </w:r>
      <w:r w:rsidRPr="005811C8">
        <w:rPr>
          <w:rFonts w:asciiTheme="majorHAnsi" w:hAnsiTheme="majorHAnsi"/>
        </w:rPr>
        <w:fldChar w:fldCharType="end"/>
      </w:r>
    </w:p>
  </w:footnote>
  <w:footnote w:id="57">
    <w:p w14:paraId="7AB7700E"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{"citationItems":[{"id":"ITEM-1","itemData":{"DOI":"10.25194/2317-0573.2021v17n1.e1569","author":[{"dropping-particle":"","family":"Xavier","given":"É T","non-dropping-particle":"","parse-names":false,"suffix":""}],"container-title":"PRÁXIS TEOLÓGICA","id":"ITEM-1","issue":"1","issued":{"date-parts":[["2021"]]},"title":"PREVISÕES ENTRE OS ADVENTISTAS AO LONGO DOS TEMPOS: O CONTEXTO DE MARCAÇÃO DE DATAS PARA VOLTA DE JESUS","type":"article-journal","volume":"17"},"uris":["http://www.mendeley.com/documents/?uuid=427c7713-a20a-4ec0-a3ac-ad98b23bd98e","http://www.mendeley.com/documents/?uuid=1c3461ec-d8f0-4758-a57a-2340f829c445"]}],"mendeley":{"formattedCitation":"É T Xavier, “PREVISÕES ENTRE OS ADVENTISTAS AO LONGO DOS TEMPOS: O CONTEXTO DE MARCAÇÃO DE DATAS PARA VOLTA DE JESUS,” &lt;i&gt;PRÁXIS TEOLÓGICA&lt;/i&gt; 17, no. 1 (2021).","manualFormatting":"É T Xavier, “Previsões Entre Os Adventistas Ao Longo Dos Tempos: O Contexto De Marcação De Datas Para Volta De Jesus,” Práxis Teológica 17, No. 1 (2021), Https://Doi.Org/10.25194/2317-0573.2021v17n1.E1569.","plainTextFormattedCitation":"É T Xavier, “PREVISÕES ENTRE OS ADVENTISTAS AO LONGO DOS TEMPOS: O CONTEXTO DE MARCAÇÃO DE DATAS PARA VOLTA DE JESUS,” PRÁXIS TEOLÓGICA 17, no. 1 (2021).","previouslyFormattedCitation":"É T Xavier, “PREVISÕES ENTRE OS ADVENTISTAS AO LONGO DOS TEMPOS: O CONTEXTO DE MARCAÇÃO DE DATAS PARA VOLTA DE JESUS,” &lt;i&gt;PRÁXIS TEOLÓGICA&lt;/i&gt; 17, no. 1 (2021)."},"properties":{"noteIndex":63},"schema":"https://github.com/citation-style-language/schema/raw/master/csl-citation.json"}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 xml:space="preserve">É T Xavier, “Previsões Entre Os Adventistas Ao Longo Dos Tempos: O Contexto De Marcação De Datas Para Volta De Jesus,” </w:t>
      </w:r>
      <w:r w:rsidRPr="005811C8">
        <w:rPr>
          <w:rFonts w:asciiTheme="majorHAnsi" w:hAnsiTheme="majorHAnsi"/>
          <w:i/>
          <w:noProof/>
        </w:rPr>
        <w:t xml:space="preserve">Práxis Teológica </w:t>
      </w:r>
      <w:r w:rsidRPr="005811C8">
        <w:rPr>
          <w:rFonts w:asciiTheme="majorHAnsi" w:hAnsiTheme="majorHAnsi"/>
          <w:noProof/>
        </w:rPr>
        <w:t>17, No.</w:t>
      </w:r>
      <w:r w:rsidRPr="005811C8">
        <w:rPr>
          <w:rFonts w:asciiTheme="majorHAnsi" w:hAnsiTheme="majorHAnsi"/>
        </w:rPr>
        <w:fldChar w:fldCharType="end"/>
      </w:r>
    </w:p>
  </w:footnote>
  <w:footnote w:id="58">
    <w:p w14:paraId="6A52B248"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{"citationItems":[{"id":"ITEM-1","itemData":{"author":[{"dropping-particle":"","family":"Russo","given":"M A","non-dropping-particle":"","parse-names":false,"suffix":""}],"id":"ITEM-1","issued":{"date-parts":[["2018"]]},"title":"How soteriology can make sense of cosmology","type":"article"},"uris":["http://www.mendeley.com/documents/?uuid=13993d0a-c9b8-4a2d-855d-ecd5ff5457e7","http://www.mendeley.com/documents/?uuid=90b19a4c-d48e-4983-9ab2-4d9a453084c2"]}],"mendeley":{"formattedCitation":"M A Russo, “How Soteriology Can Make Sense of Cosmology,” 2018.","manualFormatting":"M.A. Russo, “How Soteriology Can Make Sense Of Cosmology,” 2018, Https://Ojs.St-Andrews.Ac.Uk/Index.Php/Tis/Article/View/1708.","plainTextFormattedCitation":"M A Russo, “How Soteriology Can Make Sense of Cosmology,” 2018.","previouslyFormattedCitation":"M A Russo, “How Soteriology Can Make Sense of Cosmology,” 2018."},"properties":{"noteIndex":62},"schema":"https://github.com/citation-style-language/schema/raw/master/csl-citation.json"}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MA Russo, “Bagaimana Soteriologi Dapat Memahami Kosmologi,” 2018, Https://Ojs.St-Andrews.Ac.Uk/Index.Php/Tis/Article/View/1708.</w:t>
      </w:r>
      <w:r w:rsidRPr="005811C8">
        <w:rPr>
          <w:rFonts w:asciiTheme="majorHAnsi" w:hAnsiTheme="majorHAnsi"/>
        </w:rPr>
        <w:fldChar w:fldCharType="end"/>
      </w:r>
    </w:p>
  </w:footnote>
  <w:footnote w:id="59">
    <w:p w14:paraId="018E754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{"citationItems":[{"id":"ITEM-1","itemData":{"author":[{"dropping-particle":"","family":"Santrač","given":"A S","non-dropping-particle":"","parse-names":false,"suffix":""}],"id":"ITEM-1","issued":{"date-parts":[["2017"]]},"title":"The Legacy of Martin Luther’s Sola Fide","type":"article"},"uris":["http://www.mendeley.com/documents/?uuid=af874f8b-1417-4eae-8762-6dcb3411d50d","http://www.mendeley.com/documents/?uuid=b23c1cb6-7003-4f5a-a26a-4b5325be7c88"]}],"mendeley":{"formattedCitation":"A S Santrač, “The Legacy of Martin Luther’s Sola Fide,” 2017.","manualFormatting":"As Santrač, “The Legacy Of Martin Luther's Sola Fide,” 2017, Https://Doi.Org/10.4102/Ids.V51i1.2275.","plainTextFormattedCitation":"A S Santrač, “The Legacy of Martin Luther’s Sola Fide,” 2017.","previouslyFormattedCitation":"A S Santrač, “The Legacy of Martin Luther’s Sola Fide,” 2017."},"properties":{"noteIndex":66},"schema":"https://github.com/citation-style-language/schema/raw/master/csl-citation.json"}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Seperti yang dikatakan Santrač, “Warisan Sola Fide Martin Luther,” 2017, Https://Doi.Org/10.4102/Ids.V51i1.2275.</w:t>
      </w:r>
      <w:r w:rsidRPr="005811C8">
        <w:rPr>
          <w:rFonts w:asciiTheme="majorHAnsi" w:hAnsiTheme="majorHAnsi"/>
        </w:rPr>
        <w:fldChar w:fldCharType="end"/>
      </w:r>
    </w:p>
  </w:footnote>
  <w:footnote w:id="60">
    <w:p w14:paraId="51353D8B"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{"citationItems":[{"id":"ITEM-1","itemData":{"DOI":"10.32597/dissertations/1582/","author":[{"dropping-particle":"","family":"Blue","given":"K","non-dropping-particle":"","parse-names":false,"suffix":""}],"id":"ITEM-1","issued":{"date-parts":[["2015"]]},"title":"Union with Christ in the Writings of Ellen G. White","type":"thesis"},"uris":["http://www.mendeley.com/documents/?uuid=e04d637c-d267-4873-8ef2-27897f4dc3a4","http://www.mendeley.com/documents/?uuid=b99c9458-d7e3-43d6-8475-b51e910ef168"]}],"mendeley":{"formattedCitation":"Blue, “Union with Christ in the Writings of Ellen G. White.”","manualFormatting":"Blue, “Union With Christ In The Writings Of Ellen G. White.”","plainTextFormattedCitation":"Blue, “Union with Christ in the Writings of Ellen G. White.”","previouslyFormattedCitation":"Blue, “Union with Christ in the Writings of Ellen G. White.”"},"properties":{"noteIndex":67},"schema":"https://github.com/citation-style-language/schema/raw/master/csl-citation.json"}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Biru, “Persatuan dengan Kristus dalam Tulisan-tulisan Ellen G. White.”</w:t>
      </w:r>
      <w:r w:rsidRPr="005811C8">
        <w:rPr>
          <w:rFonts w:asciiTheme="majorHAnsi" w:hAnsiTheme="majorHAnsi"/>
        </w:rPr>
        <w:fldChar w:fldCharType="end"/>
      </w:r>
    </w:p>
  </w:footnote>
  <w:footnote w:id="61">
    <w:p w14:paraId="0286CBCD"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{"citationItems":[{"id":"ITEM-1","itemData":{"author":[{"dropping-particle":"","family":"Ashworth","given":"W S","non-dropping-particle":"","parse-names":false,"suffix":""}],"id":"ITEM-1","issued":{"date-parts":[["2007"]]},"publisher":"Digital Commons - Andrews University","title":"The Lesser and the Greater Lights","type":"article-journal"},"uris":["http://www.mendeley.com/documents/?uuid=a582a1ef-6247-4d17-9011-77aefd127798","http://www.mendeley.com/documents/?uuid=5b6e6d39-7df2-4500-abcd-f594dc9fae8d"]}],"mendeley":{"formattedCitation":"W S Ashworth, “The Lesser and the Greater Lights” (2007).","manualFormatting":"Ashworth, “The Lesser And The Greater Lights.”","plainTextFormattedCitation":"W S Ashworth, “The Lesser and the Greater Lights” (2007).","previouslyFormattedCitation":"W S Ashworth, “The Lesser and the Greater Lights” (2007)."},"properties":{"noteIndex":69},"schema":"https://github.com/citation-style-language/schema/raw/master/csl-citation.json"}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Ashworth, “Cahaya yang Lebih Kecil dan Cahaya yang Lebih Besar.”</w:t>
      </w:r>
      <w:r w:rsidRPr="005811C8">
        <w:rPr>
          <w:rFonts w:asciiTheme="majorHAnsi" w:hAnsiTheme="majorHAnsi"/>
        </w:rPr>
        <w:fldChar w:fldCharType="end"/>
      </w:r>
    </w:p>
  </w:footnote>
  <w:footnote w:id="62">
    <w:p w14:paraId="08452F4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{"citationItems":[{"id":"ITEM-1","itemData":{"author":[{"dropping-particle":"","family":"Pöhler","given":"R J","non-dropping-particle":"","parse-names":false,"suffix":""}],"id":"ITEM-1","issued":{"date-parts":[["1995"]]},"title":"Change in Seventh-day Adventist Theology: a Study of the Problem of Doctrinal Development","type":"article"},"uris":["http://www.mendeley.com/documents/?uuid=4ebc06e2-729c-480b-9ca9-abb3265efbe5","http://www.mendeley.com/documents/?uuid=d8a0b146-c9f1-44b7-84e4-ac082ca528d5"]}],"mendeley":{"formattedCitation":"Pöhler, “Change in Seventh-Day Adventist Theology: A Study of the Problem of Doctrinal Development.”","manualFormatting":"Pöhler, “Change In Seventh-Day Adventist Theology: A Study Of The Problem Of Doctrinal Development.”","plainTextFormattedCitation":"Pöhler, “Change in Seventh-Day Adventist Theology: A Study of the Problem of Doctrinal Development.”","previouslyFormattedCitation":"Pöhler, “Change in Seventh-Day Adventist Theology: A Study of the Problem of Doctrinal Development.”"},"properties":{"noteIndex":71},"schema":"https://github.com/citation-style-language/schema/raw/master/csl-citation.json"}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Pöhler, “Perubahan dalam Teologi Advent Hari Ketujuh: Sebuah Studi tentang Masalah Perkembangan Doktrin.”</w:t>
      </w:r>
      <w:r w:rsidRPr="005811C8">
        <w:rPr>
          <w:rFonts w:asciiTheme="majorHAnsi" w:hAnsiTheme="majorHAnsi"/>
        </w:rPr>
        <w:fldChar w:fldCharType="end"/>
      </w:r>
    </w:p>
  </w:footnote>
  <w:footnote w:id="63">
    <w:p w14:paraId="61343673"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{"citationItems":[{"id":"ITEM-1","itemData":{"DOI":"10.32597/jams/vol13/iss2/11/","author":[{"dropping-particle":"","family":"Bade","given":"M","non-dropping-particle":"","parse-names":false,"suffix":""}],"container-title":"Journal of Adventist Mission Studies","id":"ITEM-1","issue":"2","issued":{"date-parts":[["2017"]]},"page":"119","title":"The Seventh-day Adventist Church and “Growing in Christ”: From Ecclesiological Awareness to Missiological Engagement","type":"article-journal","volume":"13"},"uris":["http://www.mendeley.com/documents/?uuid=e61a8c91-a457-4f45-b078-45de0403fe71","http://www.mendeley.com/documents/?uuid=f7009156-b68b-43a8-9911-8e5d35f76d19"]}],"mendeley":{"formattedCitation":"M Bade, “The Seventh-Day Adventist Church and ‘Growing in Christ’: From Ecclesiological Awareness to Missiological Engagement,” &lt;i&gt;Journal of Adventist Mission Studies&lt;/i&gt; 13, no. 2 (2017): 119.","manualFormatting":"Bade, “The Seventh-Day Adventist Church And 'Growing In Christ': From Ecclesiological Awareness To Missiological Engagement.”","plainTextFormattedCitation":"M Bade, “The Seventh-Day Adventist Church and ‘Growing in Christ’: From Ecclesiological Awareness to Missiological Engagement,” Journal of Adventist Mission Studies 13, no. 2 (2017): 119.","previouslyFormattedCitation":"M Bade, “The Seventh-Day Adventist Church and ‘Growing in Christ’: From Ecclesiological Awareness to Missiological Engagement,” &lt;i&gt;Journal of Adventist Mission Studies&lt;/i&gt; 13, no. 2 (2017): 119."},"properties":{"noteIndex":70},"schema":"https://github.com/citation-style-language/schema/raw/master/csl-citation.json"}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Bade, “Gereja Advent Hari Ketujuh dan 'Bertumbuh di dalam Kristus': Dari Kesadaran Eklesiologis Menuju Keterlibatan Misiologis.”</w:t>
      </w:r>
      <w:r w:rsidRPr="005811C8">
        <w:rPr>
          <w:rFonts w:asciiTheme="majorHAnsi" w:hAnsiTheme="majorHAnsi"/>
        </w:rPr>
        <w:fldChar w:fldCharType="end"/>
      </w:r>
    </w:p>
  </w:footnote>
  <w:footnote w:id="64">
    <w:p w14:paraId="2B19C152"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{"citationItems":[{"id":"ITEM-1","itemData":{"author":[{"dropping-particle":"","family":"Wetterlin","given":"C","non-dropping-particle":"","parse-names":false,"suffix":""}],"id":"ITEM-1","issued":{"date-parts":[["2015"]]},"title":"Ellen G. White’s Understanding of Indwelling of the Holy Spirit: A Chronological Study","type":"article"},"uris":["http://www.mendeley.com/documents/?uuid=2c411065-d973-4b99-8738-0d4d12f34031","http://www.mendeley.com/documents/?uuid=69413e4a-f0cf-42e3-8801-95f0e3440475"]}],"mendeley":{"formattedCitation":"Wetterlin, “Ellen G. White’s Understanding of Indwelling of the Holy Spirit: A Chronological Study.”","manualFormatting":"Wetterlin, “Ellen G. White's Understanding Of Indwelling Of The Holy Spirit: A Chronological Study.”","plainTextFormattedCitation":"Wetterlin, “Ellen G. White’s Understanding of Indwelling of the Holy Spirit: A Chronological Study.”","previouslyFormattedCitation":"Wetterlin, “Ellen G. White’s Understanding of Indwelling of the Holy Spirit: A Chronological Study.”"},"properties":{"noteIndex":72},"schema":"https://github.com/citation-style-language/schema/raw/master/csl-citation.json"}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Wetterlin, “Pemahaman Ellen G. White tentang Kehadiran Roh Kudus: Sebuah Studi Kronologis.”</w:t>
      </w:r>
      <w:r w:rsidRPr="005811C8">
        <w:rPr>
          <w:rFonts w:asciiTheme="majorHAnsi" w:hAnsiTheme="majorHAnsi"/>
        </w:rPr>
        <w:fldChar w:fldCharType="end"/>
      </w:r>
    </w:p>
  </w:footnote>
  <w:footnote w:id="65">
    <w:p w14:paraId="161A3265"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{"citationItems":[{"id":"ITEM-1","itemData":{"author":[{"dropping-particle":"","family":"Souza  E.","given":"de; Brasil","non-dropping-particle":"","parse-names":false,"suffix":""}],"id":"ITEM-1","issued":{"date-parts":[["2013"]]},"title":"Sanctuary: Cosmos, Covenant, and Creation","type":"article"},"uris":["http://www.mendeley.com/documents/?uuid=36fc0a85-5d26-405c-a4ac-8fe4cf0ca0bb","http://www.mendeley.com/documents/?uuid=5ba2eb15-0490-4a00-bc83-643ef964cf12"]}],"mendeley":{"formattedCitation":"de; Brasil Souza  E., “Sanctuary: Cosmos, Covenant, and Creation,” 2013.","manualFormatting":"De; Brasil Souza E., “Sanctuary: Cosmos, Covenant, And Creation,” 2013, Https://Digitalcommons.Andrews.Edu/Cgi/Viewcontent.Cgi?Article=1084&amp;Context=Jats.","plainTextFormattedCitation":"de; Brasil Souza  E., “Sanctuary: Cosmos, Covenant, and Creation,” 2013.","previouslyFormattedCitation":"de; Brasil Souza  E., “Sanctuary: Cosmos, Covenant, and Creation,” 2013."},"properties":{"noteIndex":73},"schema":"https://github.com/citation-style-language/schema/raw/master/csl-citation.json"}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De; Brasil Souza E., “Sanctuary: Cosmos, Covenant, And Creation,” 2013, Https://Digitalcommons.Andrews.Edu/Cgi/Viewcontent.Cgi?Article=1084&amp;Context=Jats.</w:t>
      </w:r>
      <w:r w:rsidRPr="005811C8">
        <w:rPr>
          <w:rFonts w:asciiTheme="majorHAnsi" w:hAnsiTheme="majorHAnsi"/>
        </w:rPr>
        <w:fldChar w:fldCharType="end"/>
      </w:r>
    </w:p>
  </w:footnote>
  <w:footnote w:id="66">
    <w:p w14:paraId="060C0ABC" w14:textId="77777777" w:rsidR="008D548F" w:rsidRPr="005811C8" w:rsidRDefault="008D548F" w:rsidP="005811C8">
      <w:pPr>
        <w:pStyle w:val="FootnoteText"/>
        <w:tabs>
          <w:tab w:val="left" w:pos="9072"/>
          <w:tab w:val="left" w:pos="9356"/>
        </w:tabs>
        <w:ind w:right="288" w:firstLine="709"/>
        <w:jc w:val="both"/>
        <w:rPr>
          <w:rFonts w:asciiTheme="majorHAnsi" w:hAnsiTheme="majorHAnsi"/>
        </w:rPr>
      </w:pPr>
      <w:r w:rsidRPr="005811C8">
        <w:rPr>
          <w:rStyle w:val="FootnoteReference"/>
          <w:rFonts w:asciiTheme="majorHAnsi" w:hAnsiTheme="majorHAnsi"/>
        </w:rPr>
        <w:footnoteRef/>
      </w:r>
      <w:r w:rsidRPr="005811C8">
        <w:rPr>
          <w:rFonts w:asciiTheme="majorHAnsi" w:hAnsiTheme="majorHAnsi"/>
        </w:rPr>
        <w:t xml:space="preserve"> </w:t>
      </w:r>
      <w:r w:rsidRPr="005811C8">
        <w:rPr>
          <w:rFonts w:asciiTheme="majorHAnsi" w:hAnsiTheme="majorHAnsi"/>
        </w:rPr>
        <w:fldChar w:fldCharType="begin" w:fldLock="1"/>
      </w:r>
      <w:r w:rsidRPr="005811C8">
        <w:rPr>
          <w:rFonts w:asciiTheme="majorHAnsi" w:hAnsiTheme="majorHAnsi"/>
        </w:rPr>
        <w:instrText>ADDIN CSL_CITATION {"citationItems":[{"id":"ITEM-1","itemData":{"author":[{"dropping-particle":"","family":"Harwood  B.","given":"G H.; Beem","non-dropping-particle":"","parse-names":false,"suffix":""}],"id":"ITEM-1","issued":{"date-parts":[["2019"]]},"title":"Study to Show Thyself Approved: Seventh-day Adventism’s Legacy of Careful Biblical Scholarship","type":"article"},"uris":["http://www.mendeley.com/documents/?uuid=2090c8f6-8071-4a8a-8762-572151657366","http://www.mendeley.com/documents/?uuid=62d1a016-62a9-4c2f-ba59-c824be8bd811"]}],"mendeley":{"formattedCitation":"Harwood  B., “Study to Show Thyself Approved: Seventh-Day Adventism’s Legacy of Careful Biblical Scholarship.”","manualFormatting":"Harwood B., “Study To Show Thyself Approved: Seventh-Day Adventism's Legacy Of Careful Biblical Scholarship.”","plainTextFormattedCitation":"Harwood  B., “Study to Show Thyself Approved: Seventh-Day Adventism’s Legacy of Careful Biblical Scholarship.”","previouslyFormattedCitation":"Harwood  B., “Study to Show Thyself Approved: Seventh-Day Adventism’s Legacy of Careful Biblical Scholarship.”"},"properties":{"noteIndex":74},"schema":"https://github.com/citation-style-language/schema/raw/master/csl-citation.json"}</w:instrText>
      </w:r>
      <w:r w:rsidRPr="005811C8">
        <w:rPr>
          <w:rFonts w:asciiTheme="majorHAnsi" w:hAnsiTheme="majorHAnsi"/>
        </w:rPr>
        <w:fldChar w:fldCharType="separate"/>
      </w:r>
      <w:r w:rsidRPr="005811C8">
        <w:rPr>
          <w:rFonts w:asciiTheme="majorHAnsi" w:hAnsiTheme="majorHAnsi"/>
          <w:noProof/>
        </w:rPr>
        <w:t>Harwood B., “Belajarlah untuk Membuktikan Dirimu Layak Diperkenankan: Warisan Adventisme Hari Ketujuh tentang Kajian Alkitab yang Cermat.”</w:t>
      </w:r>
      <w:r w:rsidRPr="005811C8">
        <w:rPr>
          <w:rFonts w:asciiTheme="majorHAnsi" w:hAnsiTheme="majorHAns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E89A80" w14:textId="77777777" w:rsidR="00537A88" w:rsidRDefault="00D24A94">
    <w:pPr>
      <w:spacing w:after="0"/>
      <w:rPr>
        <w:rFonts w:ascii="NewsGoth Cn BT" w:eastAsia="NewsGoth Cn BT" w:hAnsi="NewsGoth Cn BT" w:cs="NewsGoth Cn BT"/>
        <w:i/>
        <w:sz w:val="21"/>
        <w:szCs w:val="21"/>
      </w:rPr>
    </w:pPr>
    <w:r>
      <w:rPr>
        <w:rFonts w:ascii="NewsGoth Cn BT" w:eastAsia="NewsGoth Cn BT" w:hAnsi="NewsGoth Cn BT" w:cs="NewsGoth Cn BT"/>
        <w:i/>
        <w:sz w:val="21"/>
        <w:szCs w:val="21"/>
      </w:rPr>
      <w:t xml:space="preserve">Basileia: Jurnal Filsafat dan Teologi, Vol </w:t>
    </w:r>
    <w:r>
      <w:rPr>
        <w:rFonts w:ascii="NewsGoth Cn BT" w:eastAsia="NewsGoth Cn BT" w:hAnsi="NewsGoth Cn BT" w:cs="NewsGoth Cn BT"/>
        <w:i/>
        <w:color w:val="FF0000"/>
        <w:sz w:val="21"/>
        <w:szCs w:val="21"/>
      </w:rPr>
      <w:t>X</w:t>
    </w:r>
    <w:r>
      <w:rPr>
        <w:rFonts w:ascii="NewsGoth Cn BT" w:eastAsia="NewsGoth Cn BT" w:hAnsi="NewsGoth Cn BT" w:cs="NewsGoth Cn BT"/>
        <w:i/>
        <w:sz w:val="21"/>
        <w:szCs w:val="21"/>
      </w:rPr>
      <w:t xml:space="preserve">, No </w:t>
    </w:r>
    <w:r>
      <w:rPr>
        <w:rFonts w:ascii="NewsGoth Cn BT" w:eastAsia="NewsGoth Cn BT" w:hAnsi="NewsGoth Cn BT" w:cs="NewsGoth Cn BT"/>
        <w:i/>
        <w:color w:val="FF0000"/>
        <w:sz w:val="21"/>
        <w:szCs w:val="21"/>
      </w:rPr>
      <w:t>X</w:t>
    </w:r>
    <w:r>
      <w:rPr>
        <w:rFonts w:ascii="NewsGoth Cn BT" w:eastAsia="NewsGoth Cn BT" w:hAnsi="NewsGoth Cn BT" w:cs="NewsGoth Cn BT"/>
        <w:i/>
        <w:sz w:val="21"/>
        <w:szCs w:val="21"/>
      </w:rPr>
      <w:t xml:space="preserve"> (</w:t>
    </w:r>
    <w:r>
      <w:rPr>
        <w:rFonts w:ascii="NewsGoth Cn BT" w:eastAsia="NewsGoth Cn BT" w:hAnsi="NewsGoth Cn BT" w:cs="NewsGoth Cn BT"/>
        <w:i/>
        <w:color w:val="FF0000"/>
        <w:sz w:val="21"/>
        <w:szCs w:val="21"/>
      </w:rPr>
      <w:t>Bulan</w:t>
    </w:r>
    <w:r>
      <w:rPr>
        <w:rFonts w:ascii="NewsGoth Cn BT" w:eastAsia="NewsGoth Cn BT" w:hAnsi="NewsGoth Cn BT" w:cs="NewsGoth Cn BT"/>
        <w:i/>
        <w:sz w:val="21"/>
        <w:szCs w:val="21"/>
      </w:rPr>
      <w:t xml:space="preserve"> 202</w:t>
    </w:r>
    <w:r>
      <w:rPr>
        <w:rFonts w:ascii="NewsGoth Cn BT" w:eastAsia="NewsGoth Cn BT" w:hAnsi="NewsGoth Cn BT" w:cs="NewsGoth Cn BT"/>
        <w:i/>
        <w:color w:val="FF0000"/>
        <w:sz w:val="21"/>
        <w:szCs w:val="21"/>
      </w:rPr>
      <w:t>X</w:t>
    </w:r>
    <w:r>
      <w:rPr>
        <w:rFonts w:ascii="NewsGoth Cn BT" w:eastAsia="NewsGoth Cn BT" w:hAnsi="NewsGoth Cn BT" w:cs="NewsGoth Cn BT"/>
        <w:i/>
        <w:sz w:val="21"/>
        <w:szCs w:val="21"/>
      </w:rPr>
      <w:t>)</w:t>
    </w:r>
  </w:p>
  <w:p w14:paraId="0B7BE823" w14:textId="77777777" w:rsidR="00537A88" w:rsidRDefault="00537A88">
    <w:pPr>
      <w:spacing w:after="0"/>
      <w:rPr>
        <w:rFonts w:ascii="NewsGoth Cn BT" w:eastAsia="NewsGoth Cn BT" w:hAnsi="NewsGoth Cn BT" w:cs="NewsGoth Cn BT"/>
        <w:sz w:val="21"/>
        <w:szCs w:val="21"/>
      </w:rPr>
    </w:pPr>
  </w:p>
  <w:p w14:paraId="2B852CB4" w14:textId="77777777" w:rsidR="00537A88" w:rsidRDefault="00537A88">
    <w:pPr>
      <w:pBdr>
        <w:top w:val="nil"/>
        <w:left w:val="nil"/>
        <w:bottom w:val="nil"/>
        <w:right w:val="nil"/>
        <w:between w:val="nil"/>
      </w:pBdr>
      <w:spacing w:after="0" w:line="240" w:lineRule="auto"/>
      <w:ind w:left="1440"/>
      <w:jc w:val="both"/>
      <w:rPr>
        <w:rFonts w:ascii="Cambria" w:eastAsia="Cambria" w:hAnsi="Cambria" w:cs="Cambria"/>
        <w: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1F607" w14:textId="77777777" w:rsidR="00537A88" w:rsidRDefault="00D24A94">
    <w:pPr>
      <w:pBdr>
        <w:top w:val="nil"/>
        <w:left w:val="nil"/>
        <w:bottom w:val="nil"/>
        <w:right w:val="nil"/>
        <w:between w:val="nil"/>
      </w:pBdr>
      <w:spacing w:after="0" w:line="240" w:lineRule="auto"/>
      <w:jc w:val="both"/>
      <w:rPr>
        <w:rFonts w:ascii="Cambria" w:eastAsia="Cambria" w:hAnsi="Cambria" w:cs="Cambria"/>
        <w:color w:val="000000"/>
        <w:sz w:val="20"/>
        <w:szCs w:val="20"/>
      </w:rPr>
    </w:pPr>
    <w:r>
      <w:rPr>
        <w:rFonts w:ascii="Cambria" w:eastAsia="Cambria" w:hAnsi="Cambria" w:cs="Cambria"/>
        <w:i/>
        <w:color w:val="000000"/>
        <w:sz w:val="20"/>
        <w:szCs w:val="20"/>
      </w:rPr>
      <w:t xml:space="preserve">Nama Penulis: </w:t>
    </w:r>
    <w:r>
      <w:rPr>
        <w:rFonts w:ascii="Cambria" w:eastAsia="Cambria" w:hAnsi="Cambria" w:cs="Cambria"/>
        <w:color w:val="000000"/>
        <w:sz w:val="20"/>
        <w:szCs w:val="20"/>
      </w:rPr>
      <w:t>Judul Artikel</w:t>
    </w:r>
  </w:p>
  <w:p w14:paraId="35F8420F" w14:textId="77777777" w:rsidR="00537A88" w:rsidRDefault="00537A88">
    <w:pPr>
      <w:jc w:val="right"/>
      <w:rPr>
        <w:rFonts w:ascii="NewsGoth Cn BT" w:eastAsia="NewsGoth Cn BT" w:hAnsi="NewsGoth Cn BT" w:cs="NewsGoth Cn BT"/>
        <w:i/>
        <w:sz w:val="21"/>
        <w:szCs w:val="21"/>
      </w:rPr>
    </w:pPr>
  </w:p>
  <w:p w14:paraId="100B1949" w14:textId="77777777" w:rsidR="00537A88" w:rsidRDefault="00537A88">
    <w:pPr>
      <w:spacing w:after="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252B3"/>
    <w:multiLevelType w:val="hybridMultilevel"/>
    <w:tmpl w:val="CDDC0D52"/>
    <w:lvl w:ilvl="0" w:tplc="04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15:restartNumberingAfterBreak="0">
    <w:nsid w:val="0FDC1D01"/>
    <w:multiLevelType w:val="hybridMultilevel"/>
    <w:tmpl w:val="B1E08ECE"/>
    <w:lvl w:ilvl="0" w:tplc="04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105546B2"/>
    <w:multiLevelType w:val="multilevel"/>
    <w:tmpl w:val="A86004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4BB0082"/>
    <w:multiLevelType w:val="hybridMultilevel"/>
    <w:tmpl w:val="81200622"/>
    <w:lvl w:ilvl="0" w:tplc="04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53407A56"/>
    <w:multiLevelType w:val="hybridMultilevel"/>
    <w:tmpl w:val="A09A9D70"/>
    <w:lvl w:ilvl="0" w:tplc="04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15:restartNumberingAfterBreak="0">
    <w:nsid w:val="72DF31B2"/>
    <w:multiLevelType w:val="hybridMultilevel"/>
    <w:tmpl w:val="D55A7528"/>
    <w:lvl w:ilvl="0" w:tplc="04090019">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A88"/>
    <w:rsid w:val="00010DB0"/>
    <w:rsid w:val="002F0379"/>
    <w:rsid w:val="004551CA"/>
    <w:rsid w:val="00537A88"/>
    <w:rsid w:val="005811C8"/>
    <w:rsid w:val="007B4381"/>
    <w:rsid w:val="008D548F"/>
    <w:rsid w:val="00924CCB"/>
    <w:rsid w:val="00AD7204"/>
    <w:rsid w:val="00D218C4"/>
    <w:rsid w:val="00D24A94"/>
    <w:rsid w:val="00FD724B"/>
    <w:rsid w:val="00FF79BF"/>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10F5"/>
  <w15:docId w15:val="{EFDC7B8D-905E-4B53-BB96-2011DF9EC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2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91002E"/>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EC6CA6"/>
    <w:pPr>
      <w:spacing w:after="0" w:line="240" w:lineRule="auto"/>
    </w:pPr>
    <w:rPr>
      <w:rFonts w:ascii="Times New Roman" w:eastAsia="Times New Roman" w:hAnsi="Times New Roman"/>
      <w:sz w:val="24"/>
    </w:rPr>
  </w:style>
  <w:style w:type="paragraph" w:styleId="FootnoteText">
    <w:name w:val="footnote text"/>
    <w:basedOn w:val="Normal"/>
    <w:link w:val="FootnoteTextChar"/>
    <w:uiPriority w:val="99"/>
    <w:unhideWhenUsed/>
    <w:qFormat/>
    <w:rsid w:val="00394B36"/>
    <w:pPr>
      <w:spacing w:after="0" w:line="240" w:lineRule="auto"/>
    </w:pPr>
    <w:rPr>
      <w:sz w:val="20"/>
      <w:szCs w:val="20"/>
    </w:rPr>
  </w:style>
  <w:style w:type="character" w:customStyle="1" w:styleId="FootnoteTextChar">
    <w:name w:val="Footnote Text Char"/>
    <w:basedOn w:val="DefaultParagraphFont"/>
    <w:link w:val="FootnoteText"/>
    <w:uiPriority w:val="99"/>
    <w:qFormat/>
    <w:rsid w:val="00394B36"/>
    <w:rPr>
      <w:sz w:val="20"/>
      <w:szCs w:val="20"/>
    </w:rPr>
  </w:style>
  <w:style w:type="character" w:styleId="FootnoteReference">
    <w:name w:val="footnote reference"/>
    <w:basedOn w:val="DefaultParagraphFont"/>
    <w:uiPriority w:val="99"/>
    <w:semiHidden/>
    <w:unhideWhenUsed/>
    <w:qFormat/>
    <w:rsid w:val="00394B36"/>
    <w:rPr>
      <w:vertAlign w:val="superscript"/>
    </w:rPr>
  </w:style>
  <w:style w:type="character" w:styleId="Hyperlink">
    <w:name w:val="Hyperlink"/>
    <w:basedOn w:val="DefaultParagraphFont"/>
    <w:uiPriority w:val="99"/>
    <w:unhideWhenUsed/>
    <w:rsid w:val="00A05738"/>
    <w:rPr>
      <w:color w:val="0000FF" w:themeColor="hyperlink"/>
      <w:u w:val="single"/>
    </w:rPr>
  </w:style>
  <w:style w:type="paragraph" w:styleId="Header">
    <w:name w:val="header"/>
    <w:basedOn w:val="Normal"/>
    <w:link w:val="HeaderChar"/>
    <w:uiPriority w:val="99"/>
    <w:unhideWhenUsed/>
    <w:rsid w:val="00393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BA7"/>
  </w:style>
  <w:style w:type="paragraph" w:styleId="Footer">
    <w:name w:val="footer"/>
    <w:basedOn w:val="Normal"/>
    <w:link w:val="FooterChar"/>
    <w:uiPriority w:val="99"/>
    <w:unhideWhenUsed/>
    <w:rsid w:val="00393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BA7"/>
  </w:style>
  <w:style w:type="character" w:styleId="CommentReference">
    <w:name w:val="annotation reference"/>
    <w:basedOn w:val="DefaultParagraphFont"/>
    <w:uiPriority w:val="99"/>
    <w:semiHidden/>
    <w:unhideWhenUsed/>
    <w:rsid w:val="00B93EC3"/>
    <w:rPr>
      <w:sz w:val="16"/>
      <w:szCs w:val="16"/>
    </w:rPr>
  </w:style>
  <w:style w:type="paragraph" w:styleId="CommentText">
    <w:name w:val="annotation text"/>
    <w:basedOn w:val="Normal"/>
    <w:link w:val="CommentTextChar"/>
    <w:uiPriority w:val="99"/>
    <w:semiHidden/>
    <w:unhideWhenUsed/>
    <w:rsid w:val="00B93EC3"/>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B93EC3"/>
    <w:rPr>
      <w:sz w:val="20"/>
      <w:szCs w:val="20"/>
    </w:rPr>
  </w:style>
  <w:style w:type="paragraph" w:styleId="CommentSubject">
    <w:name w:val="annotation subject"/>
    <w:basedOn w:val="CommentText"/>
    <w:next w:val="CommentText"/>
    <w:link w:val="CommentSubjectChar"/>
    <w:uiPriority w:val="99"/>
    <w:semiHidden/>
    <w:unhideWhenUsed/>
    <w:rsid w:val="00B93EC3"/>
    <w:rPr>
      <w:b/>
      <w:bCs/>
    </w:rPr>
  </w:style>
  <w:style w:type="character" w:customStyle="1" w:styleId="CommentSubjectChar">
    <w:name w:val="Comment Subject Char"/>
    <w:basedOn w:val="CommentTextChar"/>
    <w:link w:val="CommentSubject"/>
    <w:uiPriority w:val="99"/>
    <w:semiHidden/>
    <w:rsid w:val="00B93EC3"/>
    <w:rPr>
      <w:b/>
      <w:bCs/>
      <w:sz w:val="20"/>
      <w:szCs w:val="20"/>
    </w:rPr>
  </w:style>
  <w:style w:type="paragraph" w:styleId="BalloonText">
    <w:name w:val="Balloon Text"/>
    <w:basedOn w:val="Normal"/>
    <w:link w:val="BalloonTextChar"/>
    <w:uiPriority w:val="99"/>
    <w:semiHidden/>
    <w:unhideWhenUsed/>
    <w:rsid w:val="00B93E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EC3"/>
    <w:rPr>
      <w:rFonts w:ascii="Tahoma" w:hAnsi="Tahoma" w:cs="Tahoma"/>
      <w:sz w:val="16"/>
      <w:szCs w:val="16"/>
    </w:rPr>
  </w:style>
  <w:style w:type="table" w:styleId="TableGrid">
    <w:name w:val="Table Grid"/>
    <w:basedOn w:val="TableNormal"/>
    <w:uiPriority w:val="59"/>
    <w:rsid w:val="00881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8817A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1">
    <w:name w:val="Light Shading - Accent 11"/>
    <w:basedOn w:val="TableNormal"/>
    <w:uiPriority w:val="60"/>
    <w:rsid w:val="002D735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1">
    <w:name w:val="Medium List 11"/>
    <w:basedOn w:val="TableNormal"/>
    <w:uiPriority w:val="65"/>
    <w:rsid w:val="00672C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ListParagraph">
    <w:name w:val="List Paragraph"/>
    <w:basedOn w:val="Normal"/>
    <w:uiPriority w:val="34"/>
    <w:qFormat/>
    <w:rsid w:val="004F3FE4"/>
    <w:pPr>
      <w:spacing w:after="200" w:line="276" w:lineRule="auto"/>
      <w:ind w:left="720"/>
      <w:contextualSpacing/>
    </w:pPr>
  </w:style>
  <w:style w:type="character" w:styleId="Emphasis">
    <w:name w:val="Emphasis"/>
    <w:basedOn w:val="DefaultParagraphFont"/>
    <w:uiPriority w:val="20"/>
    <w:qFormat/>
    <w:rsid w:val="004F3FE4"/>
    <w:rPr>
      <w:i/>
      <w:iCs/>
    </w:rPr>
  </w:style>
  <w:style w:type="character" w:customStyle="1" w:styleId="cc-license-title">
    <w:name w:val="cc-license-title"/>
    <w:basedOn w:val="DefaultParagraphFont"/>
    <w:rsid w:val="004F307C"/>
  </w:style>
  <w:style w:type="character" w:customStyle="1" w:styleId="cc-license-identifier">
    <w:name w:val="cc-license-identifier"/>
    <w:basedOn w:val="DefaultParagraphFont"/>
    <w:rsid w:val="004F307C"/>
  </w:style>
  <w:style w:type="paragraph" w:styleId="HTMLPreformatted">
    <w:name w:val="HTML Preformatted"/>
    <w:basedOn w:val="Normal"/>
    <w:link w:val="HTMLPreformattedChar"/>
    <w:uiPriority w:val="99"/>
    <w:unhideWhenUsed/>
    <w:rsid w:val="008F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5EA3"/>
    <w:rPr>
      <w:rFonts w:ascii="Courier New" w:eastAsia="Times New Roman" w:hAnsi="Courier New" w:cs="Courier New"/>
      <w:sz w:val="20"/>
      <w:szCs w:val="20"/>
    </w:rPr>
  </w:style>
  <w:style w:type="paragraph" w:customStyle="1" w:styleId="Default">
    <w:name w:val="Default"/>
    <w:rsid w:val="008F5EA3"/>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11E36"/>
    <w:rPr>
      <w:color w:val="605E5C"/>
      <w:shd w:val="clear" w:color="auto" w:fill="E1DFDD"/>
    </w:rPr>
  </w:style>
  <w:style w:type="paragraph" w:styleId="NormalWeb">
    <w:name w:val="Normal (Web)"/>
    <w:basedOn w:val="Normal"/>
    <w:uiPriority w:val="99"/>
    <w:unhideWhenUsed/>
    <w:qFormat/>
    <w:rsid w:val="00141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1002E"/>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Pr>
    <w:tblStylePr w:type="fir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rPr>
      <w:tblPr/>
      <w:tcPr>
        <w:tcBorders>
          <w:top w:val="single" w:sz="8" w:space="0" w:color="4F81BD"/>
          <w:left w:val="nil"/>
          <w:bottom w:val="single" w:sz="8" w:space="0" w:color="4F81BD"/>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229472">
      <w:bodyDiv w:val="1"/>
      <w:marLeft w:val="0"/>
      <w:marRight w:val="0"/>
      <w:marTop w:val="0"/>
      <w:marBottom w:val="0"/>
      <w:divBdr>
        <w:top w:val="none" w:sz="0" w:space="0" w:color="auto"/>
        <w:left w:val="none" w:sz="0" w:space="0" w:color="auto"/>
        <w:bottom w:val="none" w:sz="0" w:space="0" w:color="auto"/>
        <w:right w:val="none" w:sz="0" w:space="0" w:color="auto"/>
      </w:divBdr>
    </w:div>
    <w:div w:id="895317372">
      <w:bodyDiv w:val="1"/>
      <w:marLeft w:val="0"/>
      <w:marRight w:val="0"/>
      <w:marTop w:val="0"/>
      <w:marBottom w:val="0"/>
      <w:divBdr>
        <w:top w:val="none" w:sz="0" w:space="0" w:color="auto"/>
        <w:left w:val="none" w:sz="0" w:space="0" w:color="auto"/>
        <w:bottom w:val="none" w:sz="0" w:space="0" w:color="auto"/>
        <w:right w:val="none" w:sz="0" w:space="0" w:color="auto"/>
      </w:divBdr>
    </w:div>
    <w:div w:id="1614244374">
      <w:bodyDiv w:val="1"/>
      <w:marLeft w:val="0"/>
      <w:marRight w:val="0"/>
      <w:marTop w:val="0"/>
      <w:marBottom w:val="0"/>
      <w:divBdr>
        <w:top w:val="none" w:sz="0" w:space="0" w:color="auto"/>
        <w:left w:val="none" w:sz="0" w:space="0" w:color="auto"/>
        <w:bottom w:val="none" w:sz="0" w:space="0" w:color="auto"/>
        <w:right w:val="none" w:sz="0" w:space="0" w:color="auto"/>
      </w:divBdr>
    </w:div>
    <w:div w:id="1931968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erpzc3eiJv7amtZW9c0UbKpmBA==">CgMxLjAyDmguNWcxZHdwcWN2NDNzMg5oLmFtZGg2eWp1aHhnbDgAciExeWtqOVJ6em5TMFpaX0ZkNXdyS1pzWkpMeS1iR0VjTHg=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23</Pages>
  <Words>7996</Words>
  <Characters>45580</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CHAREL</dc:creator>
  <cp:lastModifiedBy>ASUS</cp:lastModifiedBy>
  <cp:revision>4</cp:revision>
  <dcterms:created xsi:type="dcterms:W3CDTF">2026-07-09T02:56:00Z</dcterms:created>
  <dcterms:modified xsi:type="dcterms:W3CDTF">2026-07-10T01:22:00Z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95c451ee-316b-36ad-9ff6-9dc7641ac7c4</vt:lpwstr>
  </property>
  <property fmtid="{D5CDD505-2E9C-101B-9397-08002B2CF9AE}" pid="24" name="Mendeley Citation Style_1">
    <vt:lpwstr>http://www.zotero.org/styles/turabian-fullnote-bibliography</vt:lpwstr>
  </property>
</Properties>
</file>