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C780E" w14:textId="77777777" w:rsidR="00537A88" w:rsidRDefault="002F0379">
      <w:pPr>
        <w:pBdr>
          <w:top w:val="single" w:sz="8" w:space="1" w:color="548DD4"/>
          <w:left w:val="nil"/>
          <w:bottom w:val="nil"/>
          <w:right w:val="nil"/>
          <w:between w:val="nil"/>
        </w:pBdr>
        <w:spacing w:after="0" w:line="360" w:lineRule="auto"/>
        <w:jc w:val="both"/>
        <w:rPr>
          <w:rFonts w:ascii="NewsGoth Cn BT" w:eastAsia="NewsGoth Cn BT" w:hAnsi="NewsGoth Cn BT" w:cs="NewsGoth Cn BT"/>
          <w:color w:val="000000"/>
          <w:sz w:val="30"/>
          <w:szCs w:val="30"/>
        </w:rPr>
      </w:pPr>
      <w:r>
        <w:rPr>
          <w:rFonts w:ascii="NewsGoth Cn BT" w:eastAsia="NewsGoth Cn BT" w:hAnsi="NewsGoth Cn BT" w:cs="NewsGoth Cn BT"/>
          <w:noProof/>
          <w:color w:val="000000"/>
          <w:sz w:val="30"/>
          <w:szCs w:val="30"/>
        </w:rPr>
        <w:drawing>
          <wp:anchor distT="0" distB="0" distL="114300" distR="114300" simplePos="0" relativeHeight="251659264" behindDoc="0" locked="0" layoutInCell="1" allowOverlap="1" wp14:anchorId="17859BAC" wp14:editId="20AC072D">
            <wp:simplePos x="0" y="0"/>
            <wp:positionH relativeFrom="column">
              <wp:posOffset>113665</wp:posOffset>
            </wp:positionH>
            <wp:positionV relativeFrom="paragraph">
              <wp:posOffset>-671830</wp:posOffset>
            </wp:positionV>
            <wp:extent cx="596900" cy="596900"/>
            <wp:effectExtent l="0" t="0" r="0" b="0"/>
            <wp:wrapNone/>
            <wp:docPr id="133423395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6900" cy="596900"/>
                    </a:xfrm>
                    <a:prstGeom prst="rect">
                      <a:avLst/>
                    </a:prstGeom>
                  </pic:spPr>
                </pic:pic>
              </a:graphicData>
            </a:graphic>
            <wp14:sizeRelH relativeFrom="margin">
              <wp14:pctWidth>0</wp14:pctWidth>
            </wp14:sizeRelH>
            <wp14:sizeRelV relativeFrom="margin">
              <wp14:pctHeight>0</wp14:pctHeight>
            </wp14:sizeRelV>
          </wp:anchor>
        </w:drawing>
      </w:r>
      <w:r>
        <w:rPr>
          <w:rFonts w:ascii="NewsGoth Cn BT" w:eastAsia="NewsGoth Cn BT" w:hAnsi="NewsGoth Cn BT" w:cs="NewsGoth Cn BT"/>
          <w:noProof/>
          <w:color w:val="000000"/>
          <w:sz w:val="30"/>
          <w:szCs w:val="30"/>
        </w:rPr>
        <mc:AlternateContent>
          <mc:Choice Requires="wpg">
            <w:drawing>
              <wp:anchor distT="0" distB="0" distL="114300" distR="114300" simplePos="0" relativeHeight="251658240" behindDoc="1" locked="0" layoutInCell="1" allowOverlap="1" wp14:anchorId="4875D888" wp14:editId="2094D516">
                <wp:simplePos x="0" y="0"/>
                <wp:positionH relativeFrom="column">
                  <wp:posOffset>393065</wp:posOffset>
                </wp:positionH>
                <wp:positionV relativeFrom="paragraph">
                  <wp:posOffset>-703580</wp:posOffset>
                </wp:positionV>
                <wp:extent cx="6102350" cy="808990"/>
                <wp:effectExtent l="0" t="0" r="0" b="0"/>
                <wp:wrapNone/>
                <wp:docPr id="23052935" name="Group 5"/>
                <wp:cNvGraphicFramePr/>
                <a:graphic xmlns:a="http://schemas.openxmlformats.org/drawingml/2006/main">
                  <a:graphicData uri="http://schemas.microsoft.com/office/word/2010/wordprocessingGroup">
                    <wpg:wgp>
                      <wpg:cNvGrpSpPr/>
                      <wpg:grpSpPr>
                        <a:xfrm>
                          <a:off x="0" y="0"/>
                          <a:ext cx="6102350" cy="808990"/>
                          <a:chOff x="495300" y="44451"/>
                          <a:chExt cx="6102350" cy="809625"/>
                        </a:xfrm>
                      </wpg:grpSpPr>
                      <wps:wsp>
                        <wps:cNvPr id="2023647878" name="Rectangle 2023647878"/>
                        <wps:cNvSpPr/>
                        <wps:spPr>
                          <a:xfrm>
                            <a:off x="495300" y="44451"/>
                            <a:ext cx="6102350" cy="809625"/>
                          </a:xfrm>
                          <a:prstGeom prst="rect">
                            <a:avLst/>
                          </a:prstGeom>
                          <a:noFill/>
                          <a:ln>
                            <a:noFill/>
                          </a:ln>
                        </wps:spPr>
                        <wps:txbx>
                          <w:txbxContent>
                            <w:p w14:paraId="426528B4" w14:textId="77777777" w:rsidR="00537A88" w:rsidRDefault="00537A88">
                              <w:pPr>
                                <w:spacing w:after="0" w:line="240" w:lineRule="auto"/>
                                <w:textDirection w:val="btLr"/>
                              </w:pPr>
                            </w:p>
                          </w:txbxContent>
                        </wps:txbx>
                        <wps:bodyPr spcFirstLastPara="1" wrap="square" lIns="91425" tIns="91425" rIns="91425" bIns="91425" anchor="ctr" anchorCtr="0">
                          <a:noAutofit/>
                        </wps:bodyPr>
                      </wps:wsp>
                      <wps:wsp>
                        <wps:cNvPr id="1006255824" name="Rectangle 1006255824"/>
                        <wps:cNvSpPr/>
                        <wps:spPr>
                          <a:xfrm>
                            <a:off x="812800" y="89411"/>
                            <a:ext cx="5257800" cy="654050"/>
                          </a:xfrm>
                          <a:prstGeom prst="rect">
                            <a:avLst/>
                          </a:prstGeom>
                          <a:solidFill>
                            <a:srgbClr val="FFFFFF"/>
                          </a:solidFill>
                          <a:ln>
                            <a:noFill/>
                          </a:ln>
                        </wps:spPr>
                        <wps:txbx>
                          <w:txbxContent>
                            <w:p w14:paraId="08414A37" w14:textId="77777777" w:rsidR="00537A88" w:rsidRDefault="00000000">
                              <w:pPr>
                                <w:spacing w:after="0" w:line="258" w:lineRule="auto"/>
                                <w:textDirection w:val="btLr"/>
                              </w:pPr>
                              <w:r>
                                <w:rPr>
                                  <w:rFonts w:ascii="NewsGoth Cn BT" w:eastAsia="NewsGoth Cn BT" w:hAnsi="NewsGoth Cn BT" w:cs="NewsGoth Cn BT"/>
                                  <w:b/>
                                  <w:color w:val="000000"/>
                                  <w:sz w:val="26"/>
                                </w:rPr>
                                <w:t>Basileia: Jurnal Filsafat dan Teologi</w:t>
                              </w:r>
                            </w:p>
                            <w:p w14:paraId="4BC8D481" w14:textId="77777777" w:rsidR="00537A88" w:rsidRDefault="00000000">
                              <w:pPr>
                                <w:spacing w:after="0" w:line="258" w:lineRule="auto"/>
                                <w:textDirection w:val="btLr"/>
                              </w:pPr>
                              <w:r>
                                <w:rPr>
                                  <w:rFonts w:ascii="NewsGoth Cn BT" w:eastAsia="NewsGoth Cn BT" w:hAnsi="NewsGoth Cn BT" w:cs="NewsGoth Cn BT"/>
                                  <w:color w:val="000000"/>
                                </w:rPr>
                                <w:t>ISSN:</w:t>
                              </w:r>
                              <w:r w:rsidR="002F0379">
                                <w:rPr>
                                  <w:rFonts w:ascii="NewsGoth Cn BT" w:eastAsia="NewsGoth Cn BT" w:hAnsi="NewsGoth Cn BT" w:cs="NewsGoth Cn BT"/>
                                  <w:color w:val="000000"/>
                                </w:rPr>
                                <w:t xml:space="preserve"> </w:t>
                              </w:r>
                              <w:r w:rsidR="002F0379">
                                <w:rPr>
                                  <w:rFonts w:ascii="CMBX10" w:eastAsia="CMBX10" w:hAnsi="CMBX10" w:cs="CMBX10"/>
                                  <w:color w:val="000000"/>
                                  <w:sz w:val="20"/>
                                </w:rPr>
                                <w:t>xxxx-xxx</w:t>
                              </w:r>
                              <w:r>
                                <w:rPr>
                                  <w:rFonts w:ascii="NewsGoth Cn BT" w:eastAsia="NewsGoth Cn BT" w:hAnsi="NewsGoth Cn BT" w:cs="NewsGoth Cn BT"/>
                                  <w:color w:val="000000"/>
                                </w:rPr>
                                <w:tab/>
                              </w:r>
                              <w:r w:rsidR="002F0379">
                                <w:rPr>
                                  <w:rFonts w:ascii="NewsGoth Cn BT" w:eastAsia="NewsGoth Cn BT" w:hAnsi="NewsGoth Cn BT" w:cs="NewsGoth Cn BT"/>
                                  <w:color w:val="000000"/>
                                </w:rPr>
                                <w:tab/>
                              </w:r>
                              <w:r w:rsidR="002F0379">
                                <w:rPr>
                                  <w:rFonts w:ascii="NewsGoth Cn BT" w:eastAsia="NewsGoth Cn BT" w:hAnsi="NewsGoth Cn BT" w:cs="NewsGoth Cn BT"/>
                                  <w:color w:val="000000"/>
                                </w:rPr>
                                <w:tab/>
                              </w:r>
                              <w:r>
                                <w:rPr>
                                  <w:rFonts w:ascii="NewsGoth Cn BT" w:eastAsia="NewsGoth Cn BT" w:hAnsi="NewsGoth Cn BT" w:cs="NewsGoth Cn BT"/>
                                  <w:color w:val="000000"/>
                                </w:rPr>
                                <w:t xml:space="preserve">DOI: </w:t>
                              </w:r>
                              <w:r w:rsidR="002F0379">
                                <w:rPr>
                                  <w:rFonts w:ascii="NewsGoth Cn BT" w:eastAsia="NewsGoth Cn BT" w:hAnsi="NewsGoth Cn BT" w:cs="NewsGoth Cn BT"/>
                                  <w:color w:val="000000"/>
                                </w:rPr>
                                <w:t>xx.xxxx</w:t>
                              </w:r>
                              <w:r>
                                <w:rPr>
                                  <w:rFonts w:ascii="NewsGoth Cn BT" w:eastAsia="NewsGoth Cn BT" w:hAnsi="NewsGoth Cn BT" w:cs="NewsGoth Cn BT"/>
                                  <w:color w:val="000000"/>
                                </w:rPr>
                                <w:t>/</w:t>
                              </w:r>
                              <w:r w:rsidR="002F0379">
                                <w:rPr>
                                  <w:rFonts w:ascii="NewsGoth Cn BT" w:eastAsia="NewsGoth Cn BT" w:hAnsi="NewsGoth Cn BT" w:cs="NewsGoth Cn BT"/>
                                  <w:color w:val="000000"/>
                                </w:rPr>
                                <w:t>basileia</w:t>
                              </w:r>
                              <w:r>
                                <w:rPr>
                                  <w:rFonts w:ascii="NewsGoth Cn BT" w:eastAsia="NewsGoth Cn BT" w:hAnsi="NewsGoth Cn BT" w:cs="NewsGoth Cn BT"/>
                                  <w:color w:val="000000"/>
                                </w:rPr>
                                <w:t>.xxxxxxx</w:t>
                              </w:r>
                            </w:p>
                            <w:p w14:paraId="728D3F5D" w14:textId="77777777" w:rsidR="00537A88" w:rsidRDefault="00000000">
                              <w:pPr>
                                <w:spacing w:after="0" w:line="258" w:lineRule="auto"/>
                                <w:textDirection w:val="btLr"/>
                              </w:pPr>
                              <w:r>
                                <w:rPr>
                                  <w:rFonts w:ascii="NewsGoth Cn BT" w:eastAsia="NewsGoth Cn BT" w:hAnsi="NewsGoth Cn BT" w:cs="NewsGoth Cn BT"/>
                                  <w:color w:val="000000"/>
                                </w:rPr>
                                <w:t>Volume x, No xx, Bulan 2026; (page x-xx)</w:t>
                              </w:r>
                              <w:r>
                                <w:rPr>
                                  <w:rFonts w:ascii="NewsGoth Cn BT" w:eastAsia="NewsGoth Cn BT" w:hAnsi="NewsGoth Cn BT" w:cs="NewsGoth Cn BT"/>
                                  <w:color w:val="000000"/>
                                </w:rPr>
                                <w:tab/>
                              </w:r>
                              <w:r>
                                <w:rPr>
                                  <w:rFonts w:ascii="Times New Roman" w:eastAsia="Times New Roman" w:hAnsi="Times New Roman" w:cs="Times New Roman"/>
                                  <w:i/>
                                  <w:color w:val="000000"/>
                                  <w:sz w:val="18"/>
                                </w:rPr>
                                <w:t xml:space="preserve">Available at: </w:t>
                              </w:r>
                              <w:r w:rsidR="002F0379" w:rsidRPr="002F0379">
                                <w:rPr>
                                  <w:rFonts w:ascii="Times New Roman" w:eastAsia="Times New Roman" w:hAnsi="Times New Roman" w:cs="Times New Roman"/>
                                  <w:color w:val="000000"/>
                                  <w:sz w:val="18"/>
                                </w:rPr>
                                <w:t>https://basileia.uasn.ac.id/</w:t>
                              </w:r>
                              <w:r>
                                <w:rPr>
                                  <w:rFonts w:ascii="Times New Roman" w:eastAsia="Times New Roman" w:hAnsi="Times New Roman" w:cs="Times New Roman"/>
                                  <w:i/>
                                  <w:color w:val="000000"/>
                                  <w:sz w:val="18"/>
                                </w:rPr>
                                <w:t xml:space="preserve">  </w:t>
                              </w:r>
                            </w:p>
                            <w:p w14:paraId="2FC4BF35" w14:textId="77777777" w:rsidR="00537A88" w:rsidRDefault="00537A88">
                              <w:pPr>
                                <w:spacing w:after="0" w:line="240" w:lineRule="auto"/>
                                <w:ind w:left="-141" w:hanging="282"/>
                                <w:textDirection w:val="btLr"/>
                              </w:pPr>
                            </w:p>
                            <w:p w14:paraId="29E827CD" w14:textId="77777777" w:rsidR="00537A88" w:rsidRDefault="00537A88">
                              <w:pPr>
                                <w:spacing w:after="0" w:line="240" w:lineRule="auto"/>
                                <w:ind w:left="-141" w:hanging="282"/>
                                <w:textDirection w:val="btLr"/>
                              </w:pPr>
                            </w:p>
                          </w:txbxContent>
                        </wps:txbx>
                        <wps:bodyPr spcFirstLastPara="1" wrap="square" lIns="91425" tIns="45700" rIns="91425" bIns="45700" anchor="t" anchorCtr="0">
                          <a:noAutofit/>
                        </wps:bodyPr>
                      </wps:wsp>
                    </wpg:wgp>
                  </a:graphicData>
                </a:graphic>
                <wp14:sizeRelH relativeFrom="margin">
                  <wp14:pctWidth>0</wp14:pctWidth>
                </wp14:sizeRelH>
              </wp:anchor>
            </w:drawing>
          </mc:Choice>
          <mc:Fallback>
            <w:pict>
              <v:group w14:anchorId="4875D888" id="Group 5" o:spid="_x0000_s1026" style="position:absolute;left:0;text-align:left;margin-left:30.95pt;margin-top:-55.4pt;width:480.5pt;height:63.7pt;z-index:-251658240;mso-width-relative:margin" coordorigin="4953,444" coordsize="61023,8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">
                <v:rect id="Rectangle 2023647878" o:spid="_x0000_s1027" style="position:absolute;left:4953;top:444;width:61023;height:8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" filled="f" stroked="f">
                  <v:textbox inset="2.53958mm,2.53958mm,2.53958mm,2.53958mm">
                    <w:txbxContent>
                      <w:p w14:paraId="089D3AF5" w14:textId="77777777" w:rsidR="00537A88" w:rsidRDefault="00537A88">
                        <w:pPr>
                          <w:spacing w:after="0" w:line="240" w:lineRule="auto"/>
                          <w:textDirection w:val="btLr"/>
                        </w:pPr>
                      </w:p>
                    </w:txbxContent>
                  </v:textbox>
                </v:rect>
                <v:rect id="Rectangle 1006255824" o:spid="_x0000_s1028" style="position:absolute;left:8128;top:894;width:52578;height:6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" stroked="f">
                  <v:textbox inset="2.53958mm,1.2694mm,2.53958mm,1.2694mm">
                    <w:txbxContent>
                      <w:p w14:paraId="6FC58456" w14:textId="77777777" w:rsidR="00537A88" w:rsidRDefault="00000000">
                        <w:pPr>
                          <w:spacing w:after="0" w:line="258" w:lineRule="auto"/>
                          <w:textDirection w:val="btLr"/>
                        </w:pPr>
                        <w:r>
                          <w:rPr>
                            <w:rFonts w:ascii="NewsGoth Cn BT" w:eastAsia="NewsGoth Cn BT" w:hAnsi="NewsGoth Cn BT" w:cs="NewsGoth Cn BT"/>
                            <w:b/>
                            <w:color w:val="000000"/>
                            <w:sz w:val="26"/>
                          </w:rPr>
                          <w:t xml:space="preserve">Basileia: </w:t>
                        </w:r>
                        <w:proofErr w:type="spellStart"/>
                        <w:r>
                          <w:rPr>
                            <w:rFonts w:ascii="NewsGoth Cn BT" w:eastAsia="NewsGoth Cn BT" w:hAnsi="NewsGoth Cn BT" w:cs="NewsGoth Cn BT"/>
                            <w:b/>
                            <w:color w:val="000000"/>
                            <w:sz w:val="26"/>
                          </w:rPr>
                          <w:t>Jurnal</w:t>
                        </w:r>
                        <w:proofErr w:type="spellEnd"/>
                        <w:r>
                          <w:rPr>
                            <w:rFonts w:ascii="NewsGoth Cn BT" w:eastAsia="NewsGoth Cn BT" w:hAnsi="NewsGoth Cn BT" w:cs="NewsGoth Cn BT"/>
                            <w:b/>
                            <w:color w:val="000000"/>
                            <w:sz w:val="26"/>
                          </w:rPr>
                          <w:t xml:space="preserve"> </w:t>
                        </w:r>
                        <w:proofErr w:type="spellStart"/>
                        <w:r>
                          <w:rPr>
                            <w:rFonts w:ascii="NewsGoth Cn BT" w:eastAsia="NewsGoth Cn BT" w:hAnsi="NewsGoth Cn BT" w:cs="NewsGoth Cn BT"/>
                            <w:b/>
                            <w:color w:val="000000"/>
                            <w:sz w:val="26"/>
                          </w:rPr>
                          <w:t>Filsafat</w:t>
                        </w:r>
                        <w:proofErr w:type="spellEnd"/>
                        <w:r>
                          <w:rPr>
                            <w:rFonts w:ascii="NewsGoth Cn BT" w:eastAsia="NewsGoth Cn BT" w:hAnsi="NewsGoth Cn BT" w:cs="NewsGoth Cn BT"/>
                            <w:b/>
                            <w:color w:val="000000"/>
                            <w:sz w:val="26"/>
                          </w:rPr>
                          <w:t xml:space="preserve"> dan </w:t>
                        </w:r>
                        <w:proofErr w:type="spellStart"/>
                        <w:r>
                          <w:rPr>
                            <w:rFonts w:ascii="NewsGoth Cn BT" w:eastAsia="NewsGoth Cn BT" w:hAnsi="NewsGoth Cn BT" w:cs="NewsGoth Cn BT"/>
                            <w:b/>
                            <w:color w:val="000000"/>
                            <w:sz w:val="26"/>
                          </w:rPr>
                          <w:t>Teologi</w:t>
                        </w:r>
                        <w:proofErr w:type="spellEnd"/>
                      </w:p>
                      <w:p w14:paraId="0772BDAC" w14:textId="222BAC95" w:rsidR="00537A88" w:rsidRDefault="00000000">
                        <w:pPr>
                          <w:spacing w:after="0" w:line="258" w:lineRule="auto"/>
                          <w:textDirection w:val="btLr"/>
                        </w:pPr>
                        <w:r>
                          <w:rPr>
                            <w:rFonts w:ascii="NewsGoth Cn BT" w:eastAsia="NewsGoth Cn BT" w:hAnsi="NewsGoth Cn BT" w:cs="NewsGoth Cn BT"/>
                            <w:color w:val="000000"/>
                          </w:rPr>
                          <w:t>ISSN:</w:t>
                        </w:r>
                        <w:r w:rsidR="002F0379">
                          <w:rPr>
                            <w:rFonts w:ascii="NewsGoth Cn BT" w:eastAsia="NewsGoth Cn BT" w:hAnsi="NewsGoth Cn BT" w:cs="NewsGoth Cn BT"/>
                            <w:color w:val="000000"/>
                          </w:rPr>
                          <w:t xml:space="preserve"> </w:t>
                        </w:r>
                        <w:proofErr w:type="spellStart"/>
                        <w:r w:rsidR="002F0379">
                          <w:rPr>
                            <w:rFonts w:ascii="CMBX10" w:eastAsia="CMBX10" w:hAnsi="CMBX10" w:cs="CMBX10"/>
                            <w:color w:val="000000"/>
                            <w:sz w:val="20"/>
                          </w:rPr>
                          <w:t>xxxx</w:t>
                        </w:r>
                        <w:proofErr w:type="spellEnd"/>
                        <w:r w:rsidR="002F0379">
                          <w:rPr>
                            <w:rFonts w:ascii="CMBX10" w:eastAsia="CMBX10" w:hAnsi="CMBX10" w:cs="CMBX10"/>
                            <w:color w:val="000000"/>
                            <w:sz w:val="20"/>
                          </w:rPr>
                          <w:t>-xxx</w:t>
                        </w:r>
                        <w:r>
                          <w:rPr>
                            <w:rFonts w:ascii="NewsGoth Cn BT" w:eastAsia="NewsGoth Cn BT" w:hAnsi="NewsGoth Cn BT" w:cs="NewsGoth Cn BT"/>
                            <w:color w:val="000000"/>
                          </w:rPr>
                          <w:tab/>
                        </w:r>
                        <w:r w:rsidR="002F0379">
                          <w:rPr>
                            <w:rFonts w:ascii="NewsGoth Cn BT" w:eastAsia="NewsGoth Cn BT" w:hAnsi="NewsGoth Cn BT" w:cs="NewsGoth Cn BT"/>
                            <w:color w:val="000000"/>
                          </w:rPr>
                          <w:tab/>
                        </w:r>
                        <w:r w:rsidR="002F0379">
                          <w:rPr>
                            <w:rFonts w:ascii="NewsGoth Cn BT" w:eastAsia="NewsGoth Cn BT" w:hAnsi="NewsGoth Cn BT" w:cs="NewsGoth Cn BT"/>
                            <w:color w:val="000000"/>
                          </w:rPr>
                          <w:tab/>
                        </w:r>
                        <w:r>
                          <w:rPr>
                            <w:rFonts w:ascii="NewsGoth Cn BT" w:eastAsia="NewsGoth Cn BT" w:hAnsi="NewsGoth Cn BT" w:cs="NewsGoth Cn BT"/>
                            <w:color w:val="000000"/>
                          </w:rPr>
                          <w:t xml:space="preserve">DOI: </w:t>
                        </w:r>
                        <w:proofErr w:type="spellStart"/>
                        <w:r w:rsidR="002F0379">
                          <w:rPr>
                            <w:rFonts w:ascii="NewsGoth Cn BT" w:eastAsia="NewsGoth Cn BT" w:hAnsi="NewsGoth Cn BT" w:cs="NewsGoth Cn BT"/>
                            <w:color w:val="000000"/>
                          </w:rPr>
                          <w:t>xx.xxxx</w:t>
                        </w:r>
                        <w:proofErr w:type="spellEnd"/>
                        <w:r>
                          <w:rPr>
                            <w:rFonts w:ascii="NewsGoth Cn BT" w:eastAsia="NewsGoth Cn BT" w:hAnsi="NewsGoth Cn BT" w:cs="NewsGoth Cn BT"/>
                            <w:color w:val="000000"/>
                          </w:rPr>
                          <w:t>/</w:t>
                        </w:r>
                        <w:proofErr w:type="spellStart"/>
                        <w:r w:rsidR="002F0379">
                          <w:rPr>
                            <w:rFonts w:ascii="NewsGoth Cn BT" w:eastAsia="NewsGoth Cn BT" w:hAnsi="NewsGoth Cn BT" w:cs="NewsGoth Cn BT"/>
                            <w:color w:val="000000"/>
                          </w:rPr>
                          <w:t>basileia</w:t>
                        </w:r>
                        <w:r>
                          <w:rPr>
                            <w:rFonts w:ascii="NewsGoth Cn BT" w:eastAsia="NewsGoth Cn BT" w:hAnsi="NewsGoth Cn BT" w:cs="NewsGoth Cn BT"/>
                            <w:color w:val="000000"/>
                          </w:rPr>
                          <w:t>.xxxxxxx</w:t>
                        </w:r>
                        <w:proofErr w:type="spellEnd"/>
                      </w:p>
                      <w:p w14:paraId="57E32EA6" w14:textId="7690C405" w:rsidR="00537A88" w:rsidRDefault="00000000">
                        <w:pPr>
                          <w:spacing w:after="0" w:line="258" w:lineRule="auto"/>
                          <w:textDirection w:val="btLr"/>
                        </w:pPr>
                        <w:r>
                          <w:rPr>
                            <w:rFonts w:ascii="NewsGoth Cn BT" w:eastAsia="NewsGoth Cn BT" w:hAnsi="NewsGoth Cn BT" w:cs="NewsGoth Cn BT"/>
                            <w:color w:val="000000"/>
                          </w:rPr>
                          <w:t>Volume x, No xx, Bulan 2026; (page x-xx)</w:t>
                        </w:r>
                        <w:r>
                          <w:rPr>
                            <w:rFonts w:ascii="NewsGoth Cn BT" w:eastAsia="NewsGoth Cn BT" w:hAnsi="NewsGoth Cn BT" w:cs="NewsGoth Cn BT"/>
                            <w:color w:val="000000"/>
                          </w:rPr>
                          <w:tab/>
                        </w:r>
                        <w:r>
                          <w:rPr>
                            <w:rFonts w:ascii="Times New Roman" w:eastAsia="Times New Roman" w:hAnsi="Times New Roman" w:cs="Times New Roman"/>
                            <w:i/>
                            <w:color w:val="000000"/>
                            <w:sz w:val="18"/>
                          </w:rPr>
                          <w:t xml:space="preserve">Available at: </w:t>
                        </w:r>
                        <w:r w:rsidR="002F0379" w:rsidRPr="002F0379">
                          <w:rPr>
                            <w:rFonts w:ascii="Times New Roman" w:eastAsia="Times New Roman" w:hAnsi="Times New Roman" w:cs="Times New Roman"/>
                            <w:color w:val="000000"/>
                            <w:sz w:val="18"/>
                          </w:rPr>
                          <w:t>https://basileia.uasn.ac.id/</w:t>
                        </w:r>
                        <w:r>
                          <w:rPr>
                            <w:rFonts w:ascii="Times New Roman" w:eastAsia="Times New Roman" w:hAnsi="Times New Roman" w:cs="Times New Roman"/>
                            <w:i/>
                            <w:color w:val="000000"/>
                            <w:sz w:val="18"/>
                          </w:rPr>
                          <w:t xml:space="preserve">  </w:t>
                        </w:r>
                      </w:p>
                      <w:p w14:paraId="418174DD" w14:textId="77777777" w:rsidR="00537A88" w:rsidRDefault="00537A88">
                        <w:pPr>
                          <w:spacing w:after="0" w:line="240" w:lineRule="auto"/>
                          <w:ind w:left="-141" w:hanging="282"/>
                          <w:textDirection w:val="btLr"/>
                        </w:pPr>
                      </w:p>
                      <w:p w14:paraId="1E6D24F8" w14:textId="77777777" w:rsidR="00537A88" w:rsidRDefault="00537A88">
                        <w:pPr>
                          <w:spacing w:after="0" w:line="240" w:lineRule="auto"/>
                          <w:ind w:left="-141" w:hanging="282"/>
                          <w:textDirection w:val="btLr"/>
                        </w:pPr>
                      </w:p>
                    </w:txbxContent>
                  </v:textbox>
                </v:rect>
              </v:group>
            </w:pict>
          </mc:Fallback>
        </mc:AlternateContent>
      </w:r>
    </w:p>
    <w:p w14:paraId="3E166E14" w14:textId="77777777" w:rsidR="002F0379" w:rsidRDefault="00000000">
      <w:pPr>
        <w:pBdr>
          <w:top w:val="nil"/>
          <w:left w:val="nil"/>
          <w:bottom w:val="nil"/>
          <w:right w:val="nil"/>
          <w:between w:val="nil"/>
        </w:pBdr>
        <w:spacing w:after="0" w:line="240" w:lineRule="auto"/>
        <w:rPr>
          <w:rFonts w:ascii="NewsGoth Cn BT" w:eastAsia="NewsGoth Cn BT" w:hAnsi="NewsGoth Cn BT" w:cs="NewsGoth Cn BT"/>
          <w:color w:val="000000"/>
          <w:sz w:val="30"/>
          <w:szCs w:val="30"/>
        </w:rPr>
      </w:pPr>
      <w:r>
        <w:rPr>
          <w:rFonts w:ascii="NewsGoth Cn BT" w:eastAsia="NewsGoth Cn BT" w:hAnsi="NewsGoth Cn BT"/>
          <w:sz w:val="30"/>
        </w:rPr>
        <w:t>Implementasi Prinsip Alkitabiah Pertumbuhan Gereja Lokal di GMAHK Jemaat Immanuel Sigaol-Samosir</w:t>
      </w:r>
    </w:p>
    <w:p w14:paraId="7D89C98E" w14:textId="77777777" w:rsidR="00537A88" w:rsidRDefault="00537A88">
      <w:pPr>
        <w:pBdr>
          <w:top w:val="nil"/>
          <w:left w:val="nil"/>
          <w:bottom w:val="nil"/>
          <w:right w:val="nil"/>
          <w:between w:val="nil"/>
        </w:pBdr>
        <w:spacing w:after="0" w:line="240" w:lineRule="auto"/>
        <w:rPr>
          <w:rFonts w:eastAsia="Cambria" w:cs="Cambria"/>
          <w:color w:val="000000"/>
          <w:sz w:val="20"/>
          <w:szCs w:val="20"/>
        </w:rPr>
      </w:pPr>
    </w:p>
    <w:p w14:paraId="2A065A0D" w14:textId="77777777" w:rsidR="00537A88" w:rsidRDefault="00537A88">
      <w:pPr>
        <w:pBdr>
          <w:top w:val="nil"/>
          <w:left w:val="nil"/>
          <w:bottom w:val="nil"/>
          <w:right w:val="nil"/>
          <w:between w:val="nil"/>
        </w:pBdr>
        <w:spacing w:after="0" w:line="240" w:lineRule="auto"/>
        <w:rPr>
          <w:rFonts w:eastAsia="Cambria" w:cs="Cambria"/>
          <w:color w:val="000000"/>
          <w:szCs w:val="24"/>
        </w:rPr>
      </w:pPr>
    </w:p>
    <w:p w14:paraId="50B97C2A" w14:textId="77777777" w:rsidR="00537A88" w:rsidRDefault="00000000">
      <w:pPr>
        <w:spacing w:after="0" w:line="240" w:lineRule="auto"/>
        <w:ind w:left="1077"/>
        <w:rPr>
          <w:rFonts w:eastAsia="Cambria" w:cs="Cambria"/>
          <w:szCs w:val="24"/>
        </w:rPr>
      </w:pPr>
      <w:r>
        <w:rPr>
          <w:rFonts w:eastAsia="Cambria"/>
        </w:rPr>
        <w:t>Elfri Darlin Sinaga¹*, Yoanes Sinaga², Donald L. Muntu³, Amser Sianturi⁴</w:t>
      </w:r>
    </w:p>
    <w:p w14:paraId="76DD301F" w14:textId="77777777" w:rsidR="00537A88" w:rsidRDefault="00000000">
      <w:pPr>
        <w:spacing w:after="0" w:line="240" w:lineRule="auto"/>
        <w:ind w:left="1077"/>
        <w:rPr>
          <w:rFonts w:eastAsia="Cambria" w:cs="Cambria"/>
          <w:szCs w:val="24"/>
        </w:rPr>
      </w:pPr>
      <w:r>
        <w:rPr>
          <w:rFonts w:eastAsia="Cambria"/>
        </w:rPr>
        <w:t>¹²³⁴ Lembaga Penelitian dan Pengabdian kepada Masyarakat, Universitas Advent Surya Nusantara, Pematangsiantar, Indonesia</w:t>
      </w:r>
    </w:p>
    <w:p w14:paraId="1E8BFF70" w14:textId="77777777" w:rsidR="00537A88" w:rsidRDefault="00000000">
      <w:pPr>
        <w:spacing w:after="0" w:line="240" w:lineRule="auto"/>
        <w:ind w:left="1077"/>
        <w:rPr>
          <w:rFonts w:eastAsia="Cambria" w:cs="Cambria"/>
          <w:i/>
          <w:color w:val="000000"/>
          <w:szCs w:val="24"/>
        </w:rPr>
      </w:pPr>
      <w:r>
        <w:rPr>
          <w:rFonts w:eastAsia="Cambria"/>
          <w:i/>
        </w:rPr>
        <w:t>*Korespondensi: darlinsinaga64@yahoo.co.id</w:t>
      </w:r>
    </w:p>
    <w:p w14:paraId="7BD32DFF" w14:textId="77777777" w:rsidR="00537A88" w:rsidRDefault="00537A88">
      <w:pPr>
        <w:spacing w:after="0" w:line="240" w:lineRule="auto"/>
        <w:ind w:left="1134"/>
        <w:jc w:val="both"/>
        <w:rPr>
          <w:rFonts w:eastAsia="Cambria" w:cs="Cambria"/>
          <w:i/>
          <w:szCs w:val="24"/>
        </w:rPr>
      </w:pPr>
    </w:p>
    <w:tbl>
      <w:tblPr>
        <w:tblStyle w:val="a1"/>
        <w:tblpPr w:leftFromText="180" w:rightFromText="180" w:vertAnchor="page" w:horzAnchor="page" w:tblpX="967" w:tblpY="4962"/>
        <w:tblW w:w="1592" w:type="dxa"/>
        <w:tblLayout w:type="fixed"/>
        <w:tblLook w:val="0000" w:firstRow="0" w:lastRow="0" w:firstColumn="0" w:lastColumn="0" w:noHBand="0" w:noVBand="0"/>
      </w:tblPr>
      <w:tblGrid>
        <w:gridCol w:w="1592"/>
      </w:tblGrid>
      <w:tr w:rsidR="00537A88" w14:paraId="33E418EB" w14:textId="77777777" w:rsidTr="002F0379">
        <w:trPr>
          <w:trHeight w:val="903"/>
        </w:trPr>
        <w:tc>
          <w:tcPr>
            <w:tcW w:w="1592" w:type="dxa"/>
            <w:tcBorders>
              <w:top w:val="single" w:sz="4" w:space="0" w:color="auto"/>
              <w:left w:val="single" w:sz="4" w:space="0" w:color="auto"/>
              <w:bottom w:val="single" w:sz="4" w:space="0" w:color="auto"/>
              <w:right w:val="single" w:sz="4" w:space="0" w:color="auto"/>
            </w:tcBorders>
          </w:tcPr>
          <w:p w14:paraId="6F988652" w14:textId="77777777" w:rsidR="00537A88" w:rsidRDefault="00537A88">
            <w:pPr>
              <w:spacing w:after="0" w:line="100" w:lineRule="auto"/>
              <w:rPr>
                <w:sz w:val="10"/>
                <w:szCs w:val="10"/>
              </w:rPr>
            </w:pPr>
          </w:p>
          <w:p w14:paraId="4965ED34" w14:textId="77777777" w:rsidR="00537A88" w:rsidRDefault="00537A88">
            <w:pPr>
              <w:spacing w:after="0" w:line="200" w:lineRule="auto"/>
            </w:pPr>
          </w:p>
          <w:p w14:paraId="6649AFA4" w14:textId="77777777" w:rsidR="00537A88" w:rsidRDefault="00000000">
            <w:pPr>
              <w:spacing w:after="0"/>
              <w:ind w:left="289"/>
              <w:jc w:val="center"/>
              <w:rPr>
                <w:sz w:val="18"/>
                <w:szCs w:val="18"/>
              </w:rPr>
            </w:pPr>
            <w:r>
              <w:rPr>
                <w:rFonts w:eastAsia="Cambria"/>
                <w:b/>
                <w:sz w:val="18"/>
              </w:rPr>
              <w:t>Article History</w:t>
            </w:r>
          </w:p>
        </w:tc>
      </w:tr>
      <w:tr w:rsidR="00537A88" w14:paraId="7BF6CCB6" w14:textId="77777777" w:rsidTr="002F0379">
        <w:trPr>
          <w:trHeight w:val="452"/>
        </w:trPr>
        <w:tc>
          <w:tcPr>
            <w:tcW w:w="1592" w:type="dxa"/>
            <w:vMerge w:val="restart"/>
            <w:tcBorders>
              <w:top w:val="single" w:sz="4" w:space="0" w:color="auto"/>
              <w:left w:val="single" w:sz="4" w:space="0" w:color="auto"/>
              <w:bottom w:val="single" w:sz="4" w:space="0" w:color="auto"/>
              <w:right w:val="single" w:sz="4" w:space="0" w:color="auto"/>
            </w:tcBorders>
          </w:tcPr>
          <w:p w14:paraId="509CD041" w14:textId="77777777" w:rsidR="00537A88" w:rsidRDefault="00537A88">
            <w:pPr>
              <w:spacing w:after="0" w:line="180" w:lineRule="auto"/>
              <w:rPr>
                <w:sz w:val="19"/>
                <w:szCs w:val="19"/>
              </w:rPr>
            </w:pPr>
          </w:p>
          <w:p w14:paraId="2AEE2222" w14:textId="77777777" w:rsidR="00537A88" w:rsidRDefault="00000000">
            <w:pPr>
              <w:spacing w:after="0"/>
              <w:ind w:left="454" w:right="348"/>
              <w:jc w:val="center"/>
              <w:rPr>
                <w:sz w:val="18"/>
                <w:szCs w:val="18"/>
              </w:rPr>
            </w:pPr>
            <w:r>
              <w:rPr>
                <w:rFonts w:eastAsia="Cambria"/>
                <w:b/>
                <w:sz w:val="18"/>
              </w:rPr>
              <w:t>Received</w:t>
            </w:r>
          </w:p>
          <w:p w14:paraId="0CA04800" w14:textId="77777777" w:rsidR="00537A88" w:rsidRDefault="00000000">
            <w:pPr>
              <w:spacing w:after="0" w:line="200" w:lineRule="auto"/>
              <w:ind w:left="72" w:right="-32"/>
              <w:jc w:val="center"/>
              <w:rPr>
                <w:sz w:val="18"/>
                <w:szCs w:val="18"/>
              </w:rPr>
            </w:pPr>
            <w:r>
              <w:rPr>
                <w:rFonts w:eastAsia="Cambria"/>
                <w:sz w:val="18"/>
              </w:rPr>
              <w:t>dd-mm-yyyy</w:t>
            </w:r>
          </w:p>
        </w:tc>
      </w:tr>
      <w:tr w:rsidR="00537A88" w14:paraId="30867547" w14:textId="77777777" w:rsidTr="002F0379">
        <w:trPr>
          <w:trHeight w:val="450"/>
        </w:trPr>
        <w:tc>
          <w:tcPr>
            <w:tcW w:w="1592" w:type="dxa"/>
            <w:vMerge/>
            <w:tcBorders>
              <w:top w:val="single" w:sz="4" w:space="0" w:color="auto"/>
              <w:left w:val="single" w:sz="4" w:space="0" w:color="auto"/>
              <w:bottom w:val="single" w:sz="4" w:space="0" w:color="auto"/>
              <w:right w:val="single" w:sz="4" w:space="0" w:color="auto"/>
            </w:tcBorders>
          </w:tcPr>
          <w:p w14:paraId="46186278" w14:textId="77777777" w:rsidR="00537A88" w:rsidRDefault="00537A88">
            <w:pPr>
              <w:widowControl w:val="0"/>
              <w:pBdr>
                <w:top w:val="nil"/>
                <w:left w:val="nil"/>
                <w:bottom w:val="nil"/>
                <w:right w:val="nil"/>
                <w:between w:val="nil"/>
              </w:pBdr>
              <w:spacing w:after="0" w:line="276" w:lineRule="auto"/>
              <w:rPr>
                <w:sz w:val="18"/>
                <w:szCs w:val="18"/>
              </w:rPr>
            </w:pPr>
          </w:p>
        </w:tc>
      </w:tr>
      <w:tr w:rsidR="00537A88" w14:paraId="674C9019" w14:textId="77777777" w:rsidTr="002F0379">
        <w:trPr>
          <w:trHeight w:val="452"/>
        </w:trPr>
        <w:tc>
          <w:tcPr>
            <w:tcW w:w="1592" w:type="dxa"/>
            <w:vMerge w:val="restart"/>
            <w:tcBorders>
              <w:top w:val="single" w:sz="4" w:space="0" w:color="auto"/>
              <w:left w:val="single" w:sz="4" w:space="0" w:color="auto"/>
              <w:bottom w:val="single" w:sz="4" w:space="0" w:color="auto"/>
              <w:right w:val="single" w:sz="4" w:space="0" w:color="auto"/>
            </w:tcBorders>
          </w:tcPr>
          <w:p w14:paraId="314DFCE9" w14:textId="77777777" w:rsidR="00537A88" w:rsidRDefault="00537A88">
            <w:pPr>
              <w:spacing w:after="0" w:line="180" w:lineRule="auto"/>
              <w:rPr>
                <w:sz w:val="19"/>
                <w:szCs w:val="19"/>
              </w:rPr>
            </w:pPr>
          </w:p>
          <w:p w14:paraId="17EC4180" w14:textId="77777777" w:rsidR="00537A88" w:rsidRDefault="00000000">
            <w:pPr>
              <w:spacing w:after="0"/>
              <w:ind w:left="500" w:right="395"/>
              <w:jc w:val="center"/>
              <w:rPr>
                <w:sz w:val="18"/>
                <w:szCs w:val="18"/>
              </w:rPr>
            </w:pPr>
            <w:r>
              <w:rPr>
                <w:rFonts w:eastAsia="Cambria"/>
                <w:b/>
                <w:sz w:val="18"/>
              </w:rPr>
              <w:t>Revised</w:t>
            </w:r>
          </w:p>
          <w:p w14:paraId="5D999095" w14:textId="77777777" w:rsidR="00537A88" w:rsidRDefault="00000000">
            <w:pPr>
              <w:spacing w:after="0" w:line="200" w:lineRule="auto"/>
              <w:ind w:right="20"/>
              <w:jc w:val="center"/>
              <w:rPr>
                <w:sz w:val="18"/>
                <w:szCs w:val="18"/>
              </w:rPr>
            </w:pPr>
            <w:r>
              <w:rPr>
                <w:rFonts w:eastAsia="Cambria"/>
                <w:sz w:val="18"/>
              </w:rPr>
              <w:t>dd-mm-yyyy</w:t>
            </w:r>
          </w:p>
        </w:tc>
      </w:tr>
      <w:tr w:rsidR="00537A88" w14:paraId="7C7BA621" w14:textId="77777777" w:rsidTr="002F0379">
        <w:trPr>
          <w:trHeight w:val="451"/>
        </w:trPr>
        <w:tc>
          <w:tcPr>
            <w:tcW w:w="1592" w:type="dxa"/>
            <w:vMerge/>
            <w:tcBorders>
              <w:top w:val="single" w:sz="4" w:space="0" w:color="auto"/>
              <w:left w:val="single" w:sz="4" w:space="0" w:color="auto"/>
              <w:bottom w:val="single" w:sz="4" w:space="0" w:color="auto"/>
              <w:right w:val="single" w:sz="4" w:space="0" w:color="auto"/>
            </w:tcBorders>
          </w:tcPr>
          <w:p w14:paraId="7F410577" w14:textId="77777777" w:rsidR="00537A88" w:rsidRDefault="00537A88">
            <w:pPr>
              <w:widowControl w:val="0"/>
              <w:pBdr>
                <w:top w:val="nil"/>
                <w:left w:val="nil"/>
                <w:bottom w:val="nil"/>
                <w:right w:val="nil"/>
                <w:between w:val="nil"/>
              </w:pBdr>
              <w:spacing w:after="0" w:line="276" w:lineRule="auto"/>
              <w:rPr>
                <w:sz w:val="18"/>
                <w:szCs w:val="18"/>
              </w:rPr>
            </w:pPr>
          </w:p>
        </w:tc>
      </w:tr>
      <w:tr w:rsidR="00537A88" w14:paraId="45AD3516" w14:textId="77777777" w:rsidTr="002F0379">
        <w:trPr>
          <w:trHeight w:val="452"/>
        </w:trPr>
        <w:tc>
          <w:tcPr>
            <w:tcW w:w="1592" w:type="dxa"/>
            <w:vMerge w:val="restart"/>
            <w:tcBorders>
              <w:top w:val="single" w:sz="4" w:space="0" w:color="auto"/>
              <w:left w:val="single" w:sz="4" w:space="0" w:color="auto"/>
              <w:bottom w:val="single" w:sz="4" w:space="0" w:color="auto"/>
              <w:right w:val="single" w:sz="4" w:space="0" w:color="auto"/>
            </w:tcBorders>
          </w:tcPr>
          <w:p w14:paraId="2EA14297" w14:textId="77777777" w:rsidR="00537A88" w:rsidRDefault="00537A88">
            <w:pPr>
              <w:spacing w:after="0" w:line="180" w:lineRule="auto"/>
              <w:rPr>
                <w:sz w:val="19"/>
                <w:szCs w:val="19"/>
              </w:rPr>
            </w:pPr>
          </w:p>
          <w:p w14:paraId="7B846568" w14:textId="77777777" w:rsidR="00537A88" w:rsidRDefault="00000000">
            <w:pPr>
              <w:spacing w:after="0"/>
              <w:ind w:left="442" w:right="338"/>
              <w:jc w:val="center"/>
              <w:rPr>
                <w:sz w:val="18"/>
                <w:szCs w:val="18"/>
              </w:rPr>
            </w:pPr>
            <w:r>
              <w:rPr>
                <w:rFonts w:eastAsia="Cambria"/>
                <w:b/>
                <w:sz w:val="18"/>
              </w:rPr>
              <w:t>Accepted</w:t>
            </w:r>
          </w:p>
          <w:p w14:paraId="21333CB8" w14:textId="77777777" w:rsidR="00537A88" w:rsidRDefault="00000000">
            <w:pPr>
              <w:spacing w:after="0" w:line="200" w:lineRule="auto"/>
              <w:ind w:right="20"/>
              <w:jc w:val="center"/>
              <w:rPr>
                <w:sz w:val="18"/>
                <w:szCs w:val="18"/>
              </w:rPr>
            </w:pPr>
            <w:r>
              <w:rPr>
                <w:rFonts w:eastAsia="Cambria"/>
                <w:sz w:val="18"/>
              </w:rPr>
              <w:t>dd-mm-yyyy</w:t>
            </w:r>
          </w:p>
        </w:tc>
      </w:tr>
      <w:tr w:rsidR="00537A88" w14:paraId="760C6685" w14:textId="77777777" w:rsidTr="002F0379">
        <w:trPr>
          <w:trHeight w:val="450"/>
        </w:trPr>
        <w:tc>
          <w:tcPr>
            <w:tcW w:w="1592" w:type="dxa"/>
            <w:vMerge/>
            <w:tcBorders>
              <w:top w:val="single" w:sz="4" w:space="0" w:color="auto"/>
              <w:left w:val="single" w:sz="4" w:space="0" w:color="auto"/>
              <w:bottom w:val="single" w:sz="4" w:space="0" w:color="auto"/>
              <w:right w:val="single" w:sz="4" w:space="0" w:color="auto"/>
            </w:tcBorders>
          </w:tcPr>
          <w:p w14:paraId="20DA6975" w14:textId="77777777" w:rsidR="00537A88" w:rsidRDefault="00537A88">
            <w:pPr>
              <w:widowControl w:val="0"/>
              <w:pBdr>
                <w:top w:val="nil"/>
                <w:left w:val="nil"/>
                <w:bottom w:val="nil"/>
                <w:right w:val="nil"/>
                <w:between w:val="nil"/>
              </w:pBdr>
              <w:spacing w:after="0" w:line="276" w:lineRule="auto"/>
              <w:rPr>
                <w:sz w:val="18"/>
                <w:szCs w:val="18"/>
              </w:rPr>
            </w:pPr>
          </w:p>
        </w:tc>
      </w:tr>
    </w:tbl>
    <w:p w14:paraId="54C60549" w14:textId="77777777" w:rsidR="0071350F" w:rsidRDefault="00000000">
      <w:pPr>
        <w:spacing w:after="0" w:line="240" w:lineRule="auto"/>
        <w:ind w:left="1077"/>
        <w:jc w:val="both"/>
      </w:pPr>
      <w:r>
        <w:rPr>
          <w:rFonts w:eastAsia="Cambria"/>
          <w:b/>
          <w:i/>
        </w:rPr>
        <w:t xml:space="preserve">Abstract: </w:t>
      </w:r>
      <w:r>
        <w:rPr>
          <w:rFonts w:eastAsia="Cambria"/>
          <w:i/>
        </w:rPr>
        <w:t>Local church growth requires both spiritual maturity and responsible membership development. This community service program addressed stagnant attendance, limited leadership regeneration, and weak personal evangelism at the Seventh-day Adventist Immanuel Congregation in Sigaol-Samosir. A participatory approach integrated revival meetings, a church-growth seminar, and a leadership workshop from 15 to 18 April 2026. Evaluation used observation, structured interviews, commitment records, and pre-test and post-test scores. The average knowledge score increased from 52 to 81, six small groups for discipleship and evangelism were formed, a rotating pastoral visitation schedule was prepared, and potential youth leaders were identified. The findings indicate that an integrated biblical approach combining proclamation, fellowship, service, worship, and witness can strengthen congregational understanding and ministry commitment. Continued mentoring and periodic monitoring are required to assess long-term spiritual and numerical growth.</w:t>
      </w:r>
    </w:p>
    <w:p w14:paraId="4BC59CDB" w14:textId="77777777" w:rsidR="0071350F" w:rsidRDefault="00000000">
      <w:pPr>
        <w:spacing w:after="0" w:line="240" w:lineRule="auto"/>
        <w:ind w:left="1077"/>
        <w:jc w:val="both"/>
        <w:rPr>
          <w:rFonts w:eastAsia="Cambria"/>
          <w:i/>
        </w:rPr>
      </w:pPr>
      <w:r>
        <w:rPr>
          <w:rFonts w:eastAsia="Cambria"/>
          <w:i/>
        </w:rPr>
        <w:t>Keywords: biblical principles, church growth, evangelism, Seventh-day Adventist Church, small groups</w:t>
      </w:r>
    </w:p>
    <w:p w14:paraId="31B8FC19" w14:textId="77777777" w:rsidR="00D55644" w:rsidRDefault="00D55644">
      <w:pPr>
        <w:spacing w:after="0" w:line="240" w:lineRule="auto"/>
        <w:ind w:left="1077"/>
        <w:jc w:val="both"/>
      </w:pPr>
    </w:p>
    <w:p w14:paraId="771F6781" w14:textId="77777777" w:rsidR="0071350F" w:rsidRDefault="00000000">
      <w:pPr>
        <w:spacing w:after="0" w:line="240" w:lineRule="auto"/>
        <w:ind w:left="1077"/>
        <w:jc w:val="both"/>
      </w:pPr>
      <w:r>
        <w:rPr>
          <w:rFonts w:eastAsia="Cambria"/>
          <w:b/>
        </w:rPr>
        <w:t xml:space="preserve">Abstrak: </w:t>
      </w:r>
      <w:r>
        <w:rPr>
          <w:rFonts w:eastAsia="Cambria"/>
        </w:rPr>
        <w:t>Pertumbuhan gereja lokal menuntut kedewasaan rohani sekaligus pengembangan keanggotaan yang bertanggung jawab. Program pengabdian kepada masyarakat ini merespons stagnasi kehadiran, terbatasnya kaderisasi pelayan, dan lemahnya penginjilan pribadi di GMAHK Jemaat Immanuel Sigaol-Samosir. Pendekatan partisipatif mengintegrasikan Kebaktian Kebangunan Rohani, seminar pertumbuhan gereja, dan workshop kepemimpinan pada 15-18 April 2026. Evaluasi dilakukan melalui observasi, wawancara terstruktur, kartu komitmen, serta pre-test dan post-test. Nilai rata-rata pemahaman meningkat dari 52 menjadi 81, terbentuk enam kelompok kecil untuk pemuridan dan penginjilan, tersusun jadwal kunjungan pastoral bergilir, dan teridentifikasi calon pemimpin muda. Temuan menunjukkan bahwa pendekatan Alkitabiah yang memadukan pemberitaan, persekutuan, pelayanan, ibadah, dan kesaksian dapat memperkuat pemahaman serta komitmen pelayanan jemaat. Pendampingan dan monitoring berkala diperlukan untuk menilai keberlanjutan pertumbuhan rohani dan keanggotaan.</w:t>
      </w:r>
    </w:p>
    <w:p w14:paraId="0AD2B9ED" w14:textId="77777777" w:rsidR="0071350F" w:rsidRDefault="00000000">
      <w:pPr>
        <w:spacing w:after="40" w:line="240" w:lineRule="auto"/>
        <w:ind w:left="1077"/>
        <w:jc w:val="both"/>
      </w:pPr>
      <w:r>
        <w:rPr>
          <w:rFonts w:eastAsia="Cambria"/>
        </w:rPr>
        <w:lastRenderedPageBreak/>
        <w:t>Kata Kunci: GMAHK, kelompok kecil, penginjilan, pertumbuhan gereja, prinsip Alkitabiah</w:t>
      </w:r>
    </w:p>
    <w:p w14:paraId="51336887" w14:textId="77777777" w:rsidR="0071350F" w:rsidRDefault="00000000">
      <w:pPr>
        <w:keepNext/>
        <w:spacing w:before="120" w:after="0" w:line="300" w:lineRule="auto"/>
      </w:pPr>
      <w:r>
        <w:rPr>
          <w:rFonts w:eastAsia="Cambria"/>
          <w:b/>
        </w:rPr>
        <w:t>1.  Pendahuluan</w:t>
      </w:r>
    </w:p>
    <w:p w14:paraId="3C3DDC0F" w14:textId="77777777" w:rsidR="0071350F" w:rsidRDefault="00000000">
      <w:pPr>
        <w:spacing w:after="0" w:line="300" w:lineRule="auto"/>
        <w:ind w:firstLine="567"/>
        <w:jc w:val="both"/>
      </w:pPr>
      <w:r>
        <w:rPr>
          <w:rFonts w:eastAsia="Cambria"/>
        </w:rPr>
        <w:t>Pertumbuhan gereja lokal merupakan bagian dari panggilan gereja untuk menjadikan murid, membaptis, dan mengajar umat hidup dalam ketaatan (Mat. 28:19-20). Dalam pola jemaat mula-mula, pertumbuhan tersebut tampak melalui ketekunan dalam pengajaran, persekutuan, pemecahan roti, doa, kepedulian sosial, dan kesaksian yang menghasilkan penerimaan masyarakat serta penambahan anggota (Kis. 2:41-47). Karena itu, pertumbuhan gereja tidak memadai apabila hanya dipahami sebagai kenaikan jumlah anggota, melainkan perlu mencakup kedewasaan iman, keterlibatan pelayanan, kualitas relasi, dan keberlanjutan misi.</w:t>
      </w:r>
    </w:p>
    <w:p w14:paraId="2C2FFD33" w14:textId="77777777" w:rsidR="0071350F" w:rsidRDefault="00000000">
      <w:pPr>
        <w:spacing w:after="0" w:line="300" w:lineRule="auto"/>
        <w:ind w:firstLine="567"/>
        <w:jc w:val="both"/>
      </w:pPr>
      <w:r>
        <w:rPr>
          <w:rFonts w:eastAsia="Cambria"/>
        </w:rPr>
        <w:t>GMAHK Jemaat Immanuel berlokasi di Sigaol, Kabupaten Samosir, dalam konteks wilayah kepulauan dengan mobilitas masyarakat yang dipengaruhi kondisi geografis dan pola mata pencaharian petani serta nelayan. Observasi awal dan wawancara dengan pimpinan jemaat menunjukkan bahwa selama lima tahun terakhir kehadiran ibadah Sabat dan pertambahan anggota baptisan baru cenderung stagnan. Kondisi tersebut berkaitan dengan rendahnya pemahaman mengenai fungsi gereja yang utuh, terbatasnya kaderisasi pelayan, lemahnya penginjilan pribadi, dan belum optimalnya pembinaan rohani berkelanjutan.</w:t>
      </w:r>
    </w:p>
    <w:p w14:paraId="48114786" w14:textId="77777777" w:rsidR="0071350F" w:rsidRDefault="00000000">
      <w:pPr>
        <w:spacing w:after="0" w:line="300" w:lineRule="auto"/>
        <w:ind w:firstLine="567"/>
        <w:jc w:val="both"/>
      </w:pPr>
      <w:r>
        <w:rPr>
          <w:rFonts w:eastAsia="Cambria"/>
        </w:rPr>
        <w:t>Kajian terdahulu menegaskan bahwa keterlibatan anggota dalam pelayanan dan penginjilan berhubungan erat dengan pertumbuhan gereja, sebab pelayanan tidak dapat dibebankan hanya kepada pemimpin formal.</w:t>
      </w:r>
      <w:r>
        <w:footnoteReference w:id="1"/>
      </w:r>
      <w:r>
        <w:rPr>
          <w:rFonts w:eastAsia="Cambria"/>
        </w:rPr>
        <w:t xml:space="preserve"> Penelitian lain menunjukkan bahwa sikap pastoral, kepemimpinan yang membina, serta kesediaan anggota menjadi saksi merupakan faktor penting bagi pertumbuhan rohani dan keanggotaan.</w:t>
      </w:r>
      <w:r>
        <w:footnoteReference w:id="2"/>
      </w:r>
    </w:p>
    <w:p w14:paraId="59F1A9C8" w14:textId="77777777" w:rsidR="0071350F" w:rsidRDefault="00000000">
      <w:pPr>
        <w:spacing w:after="0" w:line="300" w:lineRule="auto"/>
        <w:ind w:firstLine="567"/>
        <w:jc w:val="both"/>
      </w:pPr>
      <w:r>
        <w:rPr>
          <w:rFonts w:eastAsia="Cambria"/>
        </w:rPr>
        <w:t>Perkembangan kajian mutakhir juga memperlihatkan pentingnya budaya relasional, kelompok kecil, pelayanan diakonia, dan strategi penginjilan yang terencana. Budaya relasional terbukti berjalan seiring dengan perkembangan iman dan persepsi pertumbuhan gereja, sedangkan rendahnya partisipasi kelompok kecil menjadi salah satu tantangan yang lebih kuat pada gereja yang tidak bertumbuh.</w:t>
      </w:r>
      <w:r>
        <w:footnoteReference w:id="3"/>
      </w:r>
      <w:r>
        <w:rPr>
          <w:rFonts w:eastAsia="Cambria"/>
        </w:rPr>
        <w:t xml:space="preserve"> Pelayanan diakonia dan kolaborasi gereja dengan unsur pendamping juga memperluas jangkauan misi ketika ditempatkan sebagai bagian dari kesaksian gereja, bukan sekadar kegiatan tambahan.</w:t>
      </w:r>
      <w:r>
        <w:footnoteReference w:id="4"/>
      </w:r>
    </w:p>
    <w:p w14:paraId="270B5026" w14:textId="77777777" w:rsidR="0071350F" w:rsidRDefault="00000000">
      <w:pPr>
        <w:spacing w:after="0" w:line="300" w:lineRule="auto"/>
        <w:ind w:firstLine="567"/>
        <w:jc w:val="both"/>
      </w:pPr>
      <w:r>
        <w:rPr>
          <w:rFonts w:eastAsia="Cambria"/>
        </w:rPr>
        <w:lastRenderedPageBreak/>
        <w:t>Meskipun demikian, sebagian besar penelitian tersebut membahas satu unsur pertumbuhan secara konseptual atau terpisah, seperti kepemimpinan, penginjilan, diakonia, maupun kelompok kecil. Kebaruan kegiatan ini terletak pada penerapan model integratif yang memadukan pembinaan rohani melalui Kebaktian Kebangunan Rohani (KKR), penguatan pengetahuan melalui seminar, dan pengembangan kapasitas melalui workshop kepemimpinan dalam satu rangkaian kegiatan pada jemaat lokal di wilayah kepulauan. Model tersebut juga dievaluasi melalui perubahan skor pemahaman dan luaran organisasi pelayanan, sehingga tidak berhenti pada penyampaian materi.</w:t>
      </w:r>
    </w:p>
    <w:p w14:paraId="780E8A42" w14:textId="77777777" w:rsidR="0071350F" w:rsidRDefault="00000000">
      <w:pPr>
        <w:spacing w:after="0" w:line="300" w:lineRule="auto"/>
        <w:ind w:firstLine="567"/>
        <w:jc w:val="both"/>
      </w:pPr>
      <w:r>
        <w:rPr>
          <w:rFonts w:eastAsia="Cambria"/>
        </w:rPr>
        <w:t>Kegiatan ini bertujuan meningkatkan pemahaman jemaat mengenai prinsip Alkitabiah pertumbuhan gereja, membina pelayan jemaat dalam kepemimpinan dan penginjilan, menguatkan komitmen rohani, serta merumuskan tindak lanjut yang dapat dipantau dan direplikasi pada jemaat GMAHK lain di Kepulauan Samosir.</w:t>
      </w:r>
    </w:p>
    <w:p w14:paraId="60DAF89D" w14:textId="77777777" w:rsidR="0071350F" w:rsidRDefault="00000000">
      <w:pPr>
        <w:keepNext/>
        <w:spacing w:before="120" w:after="0" w:line="300" w:lineRule="auto"/>
      </w:pPr>
      <w:r>
        <w:rPr>
          <w:rFonts w:eastAsia="Cambria"/>
          <w:b/>
        </w:rPr>
        <w:t>2.  Metode Pelaksanaan</w:t>
      </w:r>
    </w:p>
    <w:p w14:paraId="4B809BF1" w14:textId="77777777" w:rsidR="0071350F" w:rsidRDefault="00000000">
      <w:pPr>
        <w:keepNext/>
        <w:spacing w:before="60" w:after="0" w:line="300" w:lineRule="auto"/>
      </w:pPr>
      <w:r>
        <w:rPr>
          <w:rFonts w:eastAsia="Cambria"/>
          <w:b/>
          <w:i/>
        </w:rPr>
        <w:t>2.1 Pendekatan, Sasaran, dan Lokasi</w:t>
      </w:r>
    </w:p>
    <w:p w14:paraId="1FEB3E86" w14:textId="77777777" w:rsidR="0071350F" w:rsidRDefault="00000000">
      <w:pPr>
        <w:spacing w:after="0" w:line="300" w:lineRule="auto"/>
        <w:ind w:firstLine="567"/>
        <w:jc w:val="both"/>
      </w:pPr>
      <w:r>
        <w:rPr>
          <w:rFonts w:eastAsia="Cambria"/>
        </w:rPr>
        <w:t>Kegiatan menggunakan pendekatan partisipatif dalam kerangka pengabdian kepada masyarakat berbasis teologi praktis. Tim pengabdi berperan sebagai fasilitator, sedangkan pimpinan dan anggota jemaat dilibatkan dalam identifikasi masalah, pelaksanaan, refleksi, dan penyusunan rencana tindak lanjut. Khalayak sasaran meliputi penatua, diaken/diakones, pemimpin kelompok kecil, pemimpin pemuda dan remaja, serta anggota jemaat secara umum, dengan estimasi kehadiran 60-80 orang pada setiap sesi. Kegiatan dilaksanakan di GMAHK Jemaat Immanuel, Sigaol-Samosir, Kabupaten Samosir, Sumatera Utara, pada 15-18 April 2026.</w:t>
      </w:r>
    </w:p>
    <w:p w14:paraId="1ECA6995" w14:textId="77777777" w:rsidR="0071350F" w:rsidRDefault="00000000">
      <w:pPr>
        <w:keepNext/>
        <w:spacing w:before="60" w:after="0" w:line="300" w:lineRule="auto"/>
      </w:pPr>
      <w:r>
        <w:rPr>
          <w:rFonts w:eastAsia="Cambria"/>
          <w:b/>
          <w:i/>
        </w:rPr>
        <w:t>2.2 Tahapan Kegiatan</w:t>
      </w:r>
    </w:p>
    <w:p w14:paraId="564136DE" w14:textId="77777777" w:rsidR="0071350F" w:rsidRDefault="00000000">
      <w:pPr>
        <w:spacing w:after="0" w:line="300" w:lineRule="auto"/>
        <w:ind w:firstLine="567"/>
        <w:jc w:val="both"/>
      </w:pPr>
      <w:r>
        <w:rPr>
          <w:rFonts w:eastAsia="Cambria"/>
        </w:rPr>
        <w:t>Pelaksanaan memadukan ceramah interaktif, studi Alkitab induktif, diskusi kelompok, simulasi pelayanan, doa dan refleksi, serta penyusunan rencana aksi. Rangkaian kegiatan dirancang bertahap: penguatan motivasi rohani melalui KKR, pengembangan pemahaman melalui seminar, dan penerapan melalui workshop. Jadwal kegiatan disajikan pada Tabel 1.</w:t>
      </w:r>
    </w:p>
    <w:p w14:paraId="1EE2D644" w14:textId="77777777" w:rsidR="0071350F" w:rsidRDefault="00000000">
      <w:pPr>
        <w:keepNext/>
        <w:spacing w:before="80" w:after="40" w:line="240" w:lineRule="auto"/>
      </w:pPr>
      <w:r>
        <w:rPr>
          <w:rFonts w:eastAsia="Cambria"/>
          <w:b/>
          <w:sz w:val="22"/>
        </w:rPr>
        <w:t xml:space="preserve">Tabel 1. </w:t>
      </w:r>
      <w:r>
        <w:rPr>
          <w:rFonts w:eastAsia="Cambria"/>
          <w:sz w:val="22"/>
        </w:rPr>
        <w:t>Rangkaian pelaksanaan kegiatan PKM</w:t>
      </w:r>
    </w:p>
    <w:tbl>
      <w:tblPr>
        <w:tblStyle w:val="TableGrid"/>
        <w:tblW w:w="0" w:type="auto"/>
        <w:jc w:val="cente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567"/>
        <w:gridCol w:w="1417"/>
        <w:gridCol w:w="4535"/>
        <w:gridCol w:w="1417"/>
        <w:gridCol w:w="1984"/>
      </w:tblGrid>
      <w:tr w:rsidR="0071350F" w14:paraId="593C85DD" w14:textId="77777777">
        <w:trPr>
          <w:tblHeader/>
          <w:jc w:val="center"/>
        </w:trPr>
        <w:tc>
          <w:tcPr>
            <w:tcW w:w="567" w:type="dxa"/>
            <w:shd w:val="clear" w:color="auto" w:fill="D9EAF7"/>
            <w:tcMar>
              <w:top w:w="70" w:type="dxa"/>
              <w:left w:w="70" w:type="dxa"/>
              <w:bottom w:w="70" w:type="dxa"/>
              <w:right w:w="70" w:type="dxa"/>
            </w:tcMar>
            <w:vAlign w:val="center"/>
          </w:tcPr>
          <w:p w14:paraId="7F42AC97" w14:textId="77777777" w:rsidR="0071350F" w:rsidRDefault="00000000">
            <w:pPr>
              <w:jc w:val="center"/>
            </w:pPr>
            <w:r>
              <w:rPr>
                <w:rFonts w:eastAsia="Cambria"/>
                <w:b/>
                <w:sz w:val="18"/>
              </w:rPr>
              <w:t>No.</w:t>
            </w:r>
          </w:p>
        </w:tc>
        <w:tc>
          <w:tcPr>
            <w:tcW w:w="1417" w:type="dxa"/>
            <w:shd w:val="clear" w:color="auto" w:fill="D9EAF7"/>
            <w:tcMar>
              <w:top w:w="70" w:type="dxa"/>
              <w:left w:w="70" w:type="dxa"/>
              <w:bottom w:w="70" w:type="dxa"/>
              <w:right w:w="70" w:type="dxa"/>
            </w:tcMar>
            <w:vAlign w:val="center"/>
          </w:tcPr>
          <w:p w14:paraId="3BE41E68" w14:textId="77777777" w:rsidR="0071350F" w:rsidRDefault="00000000">
            <w:pPr>
              <w:jc w:val="center"/>
            </w:pPr>
            <w:r>
              <w:rPr>
                <w:rFonts w:eastAsia="Cambria"/>
                <w:b/>
                <w:sz w:val="18"/>
              </w:rPr>
              <w:t>Tanggal</w:t>
            </w:r>
          </w:p>
        </w:tc>
        <w:tc>
          <w:tcPr>
            <w:tcW w:w="4535" w:type="dxa"/>
            <w:shd w:val="clear" w:color="auto" w:fill="D9EAF7"/>
            <w:tcMar>
              <w:top w:w="70" w:type="dxa"/>
              <w:left w:w="70" w:type="dxa"/>
              <w:bottom w:w="70" w:type="dxa"/>
              <w:right w:w="70" w:type="dxa"/>
            </w:tcMar>
            <w:vAlign w:val="center"/>
          </w:tcPr>
          <w:p w14:paraId="396F57DE" w14:textId="77777777" w:rsidR="0071350F" w:rsidRDefault="00000000">
            <w:pPr>
              <w:jc w:val="center"/>
            </w:pPr>
            <w:r>
              <w:rPr>
                <w:rFonts w:eastAsia="Cambria"/>
                <w:b/>
                <w:sz w:val="18"/>
              </w:rPr>
              <w:t>Kegiatan</w:t>
            </w:r>
          </w:p>
        </w:tc>
        <w:tc>
          <w:tcPr>
            <w:tcW w:w="1417" w:type="dxa"/>
            <w:shd w:val="clear" w:color="auto" w:fill="D9EAF7"/>
            <w:tcMar>
              <w:top w:w="70" w:type="dxa"/>
              <w:left w:w="70" w:type="dxa"/>
              <w:bottom w:w="70" w:type="dxa"/>
              <w:right w:w="70" w:type="dxa"/>
            </w:tcMar>
            <w:vAlign w:val="center"/>
          </w:tcPr>
          <w:p w14:paraId="7F8AC28D" w14:textId="77777777" w:rsidR="0071350F" w:rsidRDefault="00000000">
            <w:pPr>
              <w:jc w:val="center"/>
            </w:pPr>
            <w:r>
              <w:rPr>
                <w:rFonts w:eastAsia="Cambria"/>
                <w:b/>
                <w:sz w:val="18"/>
              </w:rPr>
              <w:t>Waktu</w:t>
            </w:r>
          </w:p>
        </w:tc>
        <w:tc>
          <w:tcPr>
            <w:tcW w:w="1984" w:type="dxa"/>
            <w:shd w:val="clear" w:color="auto" w:fill="D9EAF7"/>
            <w:tcMar>
              <w:top w:w="70" w:type="dxa"/>
              <w:left w:w="70" w:type="dxa"/>
              <w:bottom w:w="70" w:type="dxa"/>
              <w:right w:w="70" w:type="dxa"/>
            </w:tcMar>
            <w:vAlign w:val="center"/>
          </w:tcPr>
          <w:p w14:paraId="09569270" w14:textId="77777777" w:rsidR="0071350F" w:rsidRDefault="00000000">
            <w:pPr>
              <w:jc w:val="center"/>
            </w:pPr>
            <w:r>
              <w:rPr>
                <w:rFonts w:eastAsia="Cambria"/>
                <w:b/>
                <w:sz w:val="18"/>
              </w:rPr>
              <w:t>Penanggung Jawab</w:t>
            </w:r>
          </w:p>
        </w:tc>
      </w:tr>
      <w:tr w:rsidR="0071350F" w14:paraId="0DAE3E2B" w14:textId="77777777">
        <w:trPr>
          <w:jc w:val="center"/>
        </w:trPr>
        <w:tc>
          <w:tcPr>
            <w:tcW w:w="567" w:type="dxa"/>
            <w:tcMar>
              <w:top w:w="70" w:type="dxa"/>
              <w:left w:w="70" w:type="dxa"/>
              <w:bottom w:w="70" w:type="dxa"/>
              <w:right w:w="70" w:type="dxa"/>
            </w:tcMar>
            <w:vAlign w:val="center"/>
          </w:tcPr>
          <w:p w14:paraId="01E84B73" w14:textId="77777777" w:rsidR="0071350F" w:rsidRDefault="00000000">
            <w:pPr>
              <w:jc w:val="center"/>
            </w:pPr>
            <w:r>
              <w:rPr>
                <w:rFonts w:eastAsia="Cambria"/>
                <w:sz w:val="18"/>
              </w:rPr>
              <w:t>1</w:t>
            </w:r>
          </w:p>
        </w:tc>
        <w:tc>
          <w:tcPr>
            <w:tcW w:w="1417" w:type="dxa"/>
            <w:tcMar>
              <w:top w:w="70" w:type="dxa"/>
              <w:left w:w="70" w:type="dxa"/>
              <w:bottom w:w="70" w:type="dxa"/>
              <w:right w:w="70" w:type="dxa"/>
            </w:tcMar>
            <w:vAlign w:val="center"/>
          </w:tcPr>
          <w:p w14:paraId="47A33E4A" w14:textId="77777777" w:rsidR="0071350F" w:rsidRDefault="00000000">
            <w:pPr>
              <w:jc w:val="center"/>
            </w:pPr>
            <w:r>
              <w:rPr>
                <w:rFonts w:eastAsia="Cambria"/>
                <w:sz w:val="18"/>
              </w:rPr>
              <w:t>15 April 2026</w:t>
            </w:r>
          </w:p>
        </w:tc>
        <w:tc>
          <w:tcPr>
            <w:tcW w:w="4535" w:type="dxa"/>
            <w:tcMar>
              <w:top w:w="70" w:type="dxa"/>
              <w:left w:w="70" w:type="dxa"/>
              <w:bottom w:w="70" w:type="dxa"/>
              <w:right w:w="70" w:type="dxa"/>
            </w:tcMar>
            <w:vAlign w:val="center"/>
          </w:tcPr>
          <w:p w14:paraId="5C99699C" w14:textId="77777777" w:rsidR="0071350F" w:rsidRDefault="00000000">
            <w:r>
              <w:rPr>
                <w:rFonts w:eastAsia="Cambria"/>
                <w:sz w:val="18"/>
              </w:rPr>
              <w:t>KKR Sesi I: “Muliakanlah Allah, sebab Sudah Tiba Saat Penghakiman-Nya”</w:t>
            </w:r>
          </w:p>
        </w:tc>
        <w:tc>
          <w:tcPr>
            <w:tcW w:w="1417" w:type="dxa"/>
            <w:tcMar>
              <w:top w:w="70" w:type="dxa"/>
              <w:left w:w="70" w:type="dxa"/>
              <w:bottom w:w="70" w:type="dxa"/>
              <w:right w:w="70" w:type="dxa"/>
            </w:tcMar>
            <w:vAlign w:val="center"/>
          </w:tcPr>
          <w:p w14:paraId="04757685" w14:textId="77777777" w:rsidR="0071350F" w:rsidRDefault="00000000">
            <w:pPr>
              <w:jc w:val="center"/>
            </w:pPr>
            <w:r>
              <w:rPr>
                <w:rFonts w:eastAsia="Cambria"/>
                <w:sz w:val="18"/>
              </w:rPr>
              <w:t>19.00-21.00</w:t>
            </w:r>
          </w:p>
        </w:tc>
        <w:tc>
          <w:tcPr>
            <w:tcW w:w="1984" w:type="dxa"/>
            <w:tcMar>
              <w:top w:w="70" w:type="dxa"/>
              <w:left w:w="70" w:type="dxa"/>
              <w:bottom w:w="70" w:type="dxa"/>
              <w:right w:w="70" w:type="dxa"/>
            </w:tcMar>
            <w:vAlign w:val="center"/>
          </w:tcPr>
          <w:p w14:paraId="29506E8F" w14:textId="77777777" w:rsidR="0071350F" w:rsidRDefault="00000000">
            <w:pPr>
              <w:jc w:val="center"/>
            </w:pPr>
            <w:r>
              <w:rPr>
                <w:rFonts w:eastAsia="Cambria"/>
                <w:sz w:val="18"/>
              </w:rPr>
              <w:t>Dr. Elfri Darlin Sinaga</w:t>
            </w:r>
          </w:p>
        </w:tc>
      </w:tr>
      <w:tr w:rsidR="0071350F" w14:paraId="13FD9227" w14:textId="77777777">
        <w:trPr>
          <w:jc w:val="center"/>
        </w:trPr>
        <w:tc>
          <w:tcPr>
            <w:tcW w:w="567" w:type="dxa"/>
            <w:tcMar>
              <w:top w:w="70" w:type="dxa"/>
              <w:left w:w="70" w:type="dxa"/>
              <w:bottom w:w="70" w:type="dxa"/>
              <w:right w:w="70" w:type="dxa"/>
            </w:tcMar>
            <w:vAlign w:val="center"/>
          </w:tcPr>
          <w:p w14:paraId="70939F68" w14:textId="77777777" w:rsidR="0071350F" w:rsidRDefault="00000000">
            <w:pPr>
              <w:jc w:val="center"/>
            </w:pPr>
            <w:r>
              <w:rPr>
                <w:rFonts w:eastAsia="Cambria"/>
                <w:sz w:val="18"/>
              </w:rPr>
              <w:t>2</w:t>
            </w:r>
          </w:p>
        </w:tc>
        <w:tc>
          <w:tcPr>
            <w:tcW w:w="1417" w:type="dxa"/>
            <w:tcMar>
              <w:top w:w="70" w:type="dxa"/>
              <w:left w:w="70" w:type="dxa"/>
              <w:bottom w:w="70" w:type="dxa"/>
              <w:right w:w="70" w:type="dxa"/>
            </w:tcMar>
            <w:vAlign w:val="center"/>
          </w:tcPr>
          <w:p w14:paraId="6A5743ED" w14:textId="77777777" w:rsidR="0071350F" w:rsidRDefault="00000000">
            <w:pPr>
              <w:jc w:val="center"/>
            </w:pPr>
            <w:r>
              <w:rPr>
                <w:rFonts w:eastAsia="Cambria"/>
                <w:sz w:val="18"/>
              </w:rPr>
              <w:t>16 April 2026</w:t>
            </w:r>
          </w:p>
        </w:tc>
        <w:tc>
          <w:tcPr>
            <w:tcW w:w="4535" w:type="dxa"/>
            <w:tcMar>
              <w:top w:w="70" w:type="dxa"/>
              <w:left w:w="70" w:type="dxa"/>
              <w:bottom w:w="70" w:type="dxa"/>
              <w:right w:w="70" w:type="dxa"/>
            </w:tcMar>
            <w:vAlign w:val="center"/>
          </w:tcPr>
          <w:p w14:paraId="30D5D1B6" w14:textId="77777777" w:rsidR="0071350F" w:rsidRDefault="00000000">
            <w:r>
              <w:rPr>
                <w:rFonts w:eastAsia="Cambria"/>
                <w:sz w:val="18"/>
              </w:rPr>
              <w:t>KKR Sesi II-III: “Aku yang Diinginkan Dunia” dan “Takutlah akan Allah dan Sembahlah Khalik Pencipta”</w:t>
            </w:r>
          </w:p>
        </w:tc>
        <w:tc>
          <w:tcPr>
            <w:tcW w:w="1417" w:type="dxa"/>
            <w:tcMar>
              <w:top w:w="70" w:type="dxa"/>
              <w:left w:w="70" w:type="dxa"/>
              <w:bottom w:w="70" w:type="dxa"/>
              <w:right w:w="70" w:type="dxa"/>
            </w:tcMar>
            <w:vAlign w:val="center"/>
          </w:tcPr>
          <w:p w14:paraId="15DAFB33" w14:textId="77777777" w:rsidR="0071350F" w:rsidRDefault="00000000">
            <w:pPr>
              <w:jc w:val="center"/>
            </w:pPr>
            <w:r>
              <w:rPr>
                <w:rFonts w:eastAsia="Cambria"/>
                <w:sz w:val="18"/>
              </w:rPr>
              <w:t>07.00-09.00; 19.00-21.00</w:t>
            </w:r>
          </w:p>
        </w:tc>
        <w:tc>
          <w:tcPr>
            <w:tcW w:w="1984" w:type="dxa"/>
            <w:tcMar>
              <w:top w:w="70" w:type="dxa"/>
              <w:left w:w="70" w:type="dxa"/>
              <w:bottom w:w="70" w:type="dxa"/>
              <w:right w:w="70" w:type="dxa"/>
            </w:tcMar>
            <w:vAlign w:val="center"/>
          </w:tcPr>
          <w:p w14:paraId="0CE3A354" w14:textId="77777777" w:rsidR="0071350F" w:rsidRDefault="00000000">
            <w:pPr>
              <w:jc w:val="center"/>
            </w:pPr>
            <w:r>
              <w:rPr>
                <w:rFonts w:eastAsia="Cambria"/>
                <w:sz w:val="18"/>
              </w:rPr>
              <w:t>Yoanes Sinaga, M.Div.; Dr. Elfri Darlin Sinaga</w:t>
            </w:r>
          </w:p>
        </w:tc>
      </w:tr>
      <w:tr w:rsidR="0071350F" w14:paraId="4E92DF89" w14:textId="77777777">
        <w:trPr>
          <w:jc w:val="center"/>
        </w:trPr>
        <w:tc>
          <w:tcPr>
            <w:tcW w:w="567" w:type="dxa"/>
            <w:tcMar>
              <w:top w:w="70" w:type="dxa"/>
              <w:left w:w="70" w:type="dxa"/>
              <w:bottom w:w="70" w:type="dxa"/>
              <w:right w:w="70" w:type="dxa"/>
            </w:tcMar>
            <w:vAlign w:val="center"/>
          </w:tcPr>
          <w:p w14:paraId="01DCA455" w14:textId="77777777" w:rsidR="0071350F" w:rsidRDefault="00000000">
            <w:pPr>
              <w:jc w:val="center"/>
            </w:pPr>
            <w:r>
              <w:rPr>
                <w:rFonts w:eastAsia="Cambria"/>
                <w:sz w:val="18"/>
              </w:rPr>
              <w:t>3</w:t>
            </w:r>
          </w:p>
        </w:tc>
        <w:tc>
          <w:tcPr>
            <w:tcW w:w="1417" w:type="dxa"/>
            <w:tcMar>
              <w:top w:w="70" w:type="dxa"/>
              <w:left w:w="70" w:type="dxa"/>
              <w:bottom w:w="70" w:type="dxa"/>
              <w:right w:w="70" w:type="dxa"/>
            </w:tcMar>
            <w:vAlign w:val="center"/>
          </w:tcPr>
          <w:p w14:paraId="08991345" w14:textId="77777777" w:rsidR="0071350F" w:rsidRDefault="00000000">
            <w:pPr>
              <w:jc w:val="center"/>
            </w:pPr>
            <w:r>
              <w:rPr>
                <w:rFonts w:eastAsia="Cambria"/>
                <w:sz w:val="18"/>
              </w:rPr>
              <w:t>17 April 2026</w:t>
            </w:r>
          </w:p>
        </w:tc>
        <w:tc>
          <w:tcPr>
            <w:tcW w:w="4535" w:type="dxa"/>
            <w:tcMar>
              <w:top w:w="70" w:type="dxa"/>
              <w:left w:w="70" w:type="dxa"/>
              <w:bottom w:w="70" w:type="dxa"/>
              <w:right w:w="70" w:type="dxa"/>
            </w:tcMar>
            <w:vAlign w:val="center"/>
          </w:tcPr>
          <w:p w14:paraId="7384EEFE" w14:textId="77777777" w:rsidR="0071350F" w:rsidRDefault="00000000">
            <w:r>
              <w:rPr>
                <w:rFonts w:eastAsia="Cambria"/>
                <w:sz w:val="18"/>
              </w:rPr>
              <w:t>KKR Sesi IV-V: “Kasih” dan “Sudah Rubuh Babel, Pergilah dari Padanya”</w:t>
            </w:r>
          </w:p>
        </w:tc>
        <w:tc>
          <w:tcPr>
            <w:tcW w:w="1417" w:type="dxa"/>
            <w:tcMar>
              <w:top w:w="70" w:type="dxa"/>
              <w:left w:w="70" w:type="dxa"/>
              <w:bottom w:w="70" w:type="dxa"/>
              <w:right w:w="70" w:type="dxa"/>
            </w:tcMar>
            <w:vAlign w:val="center"/>
          </w:tcPr>
          <w:p w14:paraId="4DD18E8F" w14:textId="77777777" w:rsidR="0071350F" w:rsidRDefault="00000000">
            <w:pPr>
              <w:jc w:val="center"/>
            </w:pPr>
            <w:r>
              <w:rPr>
                <w:rFonts w:eastAsia="Cambria"/>
                <w:sz w:val="18"/>
              </w:rPr>
              <w:t>07.00-09.00; 19.00-21.00</w:t>
            </w:r>
          </w:p>
        </w:tc>
        <w:tc>
          <w:tcPr>
            <w:tcW w:w="1984" w:type="dxa"/>
            <w:tcMar>
              <w:top w:w="70" w:type="dxa"/>
              <w:left w:w="70" w:type="dxa"/>
              <w:bottom w:w="70" w:type="dxa"/>
              <w:right w:w="70" w:type="dxa"/>
            </w:tcMar>
            <w:vAlign w:val="center"/>
          </w:tcPr>
          <w:p w14:paraId="7B56DE16" w14:textId="77777777" w:rsidR="0071350F" w:rsidRDefault="00000000">
            <w:pPr>
              <w:jc w:val="center"/>
            </w:pPr>
            <w:r>
              <w:rPr>
                <w:rFonts w:eastAsia="Cambria"/>
                <w:sz w:val="18"/>
              </w:rPr>
              <w:t>Yoanes Sinaga, M.Div.; Dr. Elfri Darlin Sinaga</w:t>
            </w:r>
          </w:p>
        </w:tc>
      </w:tr>
      <w:tr w:rsidR="0071350F" w14:paraId="376BF8C7" w14:textId="77777777">
        <w:trPr>
          <w:jc w:val="center"/>
        </w:trPr>
        <w:tc>
          <w:tcPr>
            <w:tcW w:w="567" w:type="dxa"/>
            <w:tcMar>
              <w:top w:w="70" w:type="dxa"/>
              <w:left w:w="70" w:type="dxa"/>
              <w:bottom w:w="70" w:type="dxa"/>
              <w:right w:w="70" w:type="dxa"/>
            </w:tcMar>
            <w:vAlign w:val="center"/>
          </w:tcPr>
          <w:p w14:paraId="73967A2F" w14:textId="77777777" w:rsidR="0071350F" w:rsidRDefault="00000000">
            <w:pPr>
              <w:jc w:val="center"/>
            </w:pPr>
            <w:r>
              <w:rPr>
                <w:rFonts w:eastAsia="Cambria"/>
                <w:sz w:val="18"/>
              </w:rPr>
              <w:lastRenderedPageBreak/>
              <w:t>4</w:t>
            </w:r>
          </w:p>
        </w:tc>
        <w:tc>
          <w:tcPr>
            <w:tcW w:w="1417" w:type="dxa"/>
            <w:tcMar>
              <w:top w:w="70" w:type="dxa"/>
              <w:left w:w="70" w:type="dxa"/>
              <w:bottom w:w="70" w:type="dxa"/>
              <w:right w:w="70" w:type="dxa"/>
            </w:tcMar>
            <w:vAlign w:val="center"/>
          </w:tcPr>
          <w:p w14:paraId="6EDA6118" w14:textId="77777777" w:rsidR="0071350F" w:rsidRDefault="00000000">
            <w:pPr>
              <w:jc w:val="center"/>
            </w:pPr>
            <w:r>
              <w:rPr>
                <w:rFonts w:eastAsia="Cambria"/>
                <w:sz w:val="18"/>
              </w:rPr>
              <w:t>18 April 2026</w:t>
            </w:r>
          </w:p>
        </w:tc>
        <w:tc>
          <w:tcPr>
            <w:tcW w:w="4535" w:type="dxa"/>
            <w:tcMar>
              <w:top w:w="70" w:type="dxa"/>
              <w:left w:w="70" w:type="dxa"/>
              <w:bottom w:w="70" w:type="dxa"/>
              <w:right w:w="70" w:type="dxa"/>
            </w:tcMar>
            <w:vAlign w:val="center"/>
          </w:tcPr>
          <w:p w14:paraId="4ACBD805" w14:textId="77777777" w:rsidR="0071350F" w:rsidRDefault="00000000">
            <w:r>
              <w:rPr>
                <w:rFonts w:eastAsia="Cambria"/>
                <w:sz w:val="18"/>
              </w:rPr>
              <w:t>Seminar, workshop, penyusunan rekomendasi, evaluasi, dan dokumentasi</w:t>
            </w:r>
          </w:p>
        </w:tc>
        <w:tc>
          <w:tcPr>
            <w:tcW w:w="1417" w:type="dxa"/>
            <w:tcMar>
              <w:top w:w="70" w:type="dxa"/>
              <w:left w:w="70" w:type="dxa"/>
              <w:bottom w:w="70" w:type="dxa"/>
              <w:right w:w="70" w:type="dxa"/>
            </w:tcMar>
            <w:vAlign w:val="center"/>
          </w:tcPr>
          <w:p w14:paraId="092B0CDD" w14:textId="77777777" w:rsidR="0071350F" w:rsidRDefault="00000000">
            <w:pPr>
              <w:jc w:val="center"/>
            </w:pPr>
            <w:r>
              <w:rPr>
                <w:rFonts w:eastAsia="Cambria"/>
                <w:sz w:val="18"/>
              </w:rPr>
              <w:t>14.00-16.00</w:t>
            </w:r>
          </w:p>
        </w:tc>
        <w:tc>
          <w:tcPr>
            <w:tcW w:w="1984" w:type="dxa"/>
            <w:tcMar>
              <w:top w:w="70" w:type="dxa"/>
              <w:left w:w="70" w:type="dxa"/>
              <w:bottom w:w="70" w:type="dxa"/>
              <w:right w:w="70" w:type="dxa"/>
            </w:tcMar>
            <w:vAlign w:val="center"/>
          </w:tcPr>
          <w:p w14:paraId="539933FB" w14:textId="77777777" w:rsidR="0071350F" w:rsidRDefault="00000000">
            <w:pPr>
              <w:jc w:val="center"/>
            </w:pPr>
            <w:r>
              <w:rPr>
                <w:rFonts w:eastAsia="Cambria"/>
                <w:sz w:val="18"/>
              </w:rPr>
              <w:t>Tim PKM</w:t>
            </w:r>
          </w:p>
        </w:tc>
      </w:tr>
    </w:tbl>
    <w:p w14:paraId="4433C6E8" w14:textId="77777777" w:rsidR="0071350F" w:rsidRDefault="00000000">
      <w:pPr>
        <w:keepNext/>
        <w:spacing w:before="60" w:after="0" w:line="300" w:lineRule="auto"/>
      </w:pPr>
      <w:r>
        <w:rPr>
          <w:rFonts w:eastAsia="Cambria"/>
          <w:b/>
          <w:i/>
        </w:rPr>
        <w:t>2.3 Evaluasi dan Analisis Data</w:t>
      </w:r>
    </w:p>
    <w:p w14:paraId="1162793E" w14:textId="77777777" w:rsidR="0071350F" w:rsidRDefault="00000000">
      <w:pPr>
        <w:spacing w:after="0" w:line="300" w:lineRule="auto"/>
        <w:ind w:firstLine="567"/>
        <w:jc w:val="both"/>
      </w:pPr>
      <w:r>
        <w:rPr>
          <w:rFonts w:eastAsia="Cambria"/>
        </w:rPr>
        <w:t>Evaluasi dilakukan melalui empat sumber data: (1) pre-test dan post-test untuk mengukur pemahaman peserta mengenai prinsip pertumbuhan gereja; (2) observasi partisipatif selama KKR, seminar, dan workshop; (3) wawancara terstruktur dengan pimpinan jemaat setelah kegiatan; dan (4) pemeriksaan luaran tindak lanjut berupa kelompok kecil, jadwal kunjungan pastoral, dan identifikasi calon pemimpin. Data kuantitatif dianalisis secara deskriptif dengan membandingkan nilai rata-rata sebelum dan sesudah kegiatan, sedangkan data kualitatif diringkas melalui reduksi, pengelompokan tema, dan penarikan makna berdasarkan tujuan kegiatan. Monitoring awal direncanakan satu bulan setelah kegiatan.</w:t>
      </w:r>
    </w:p>
    <w:p w14:paraId="09D1F387" w14:textId="77777777" w:rsidR="0071350F" w:rsidRDefault="00000000">
      <w:pPr>
        <w:keepNext/>
        <w:spacing w:before="120" w:after="0" w:line="300" w:lineRule="auto"/>
      </w:pPr>
      <w:r>
        <w:rPr>
          <w:rFonts w:eastAsia="Cambria"/>
          <w:b/>
        </w:rPr>
        <w:t>3.  Hasil dan Pembahasan</w:t>
      </w:r>
    </w:p>
    <w:p w14:paraId="567837C4" w14:textId="77777777" w:rsidR="0071350F" w:rsidRDefault="00000000">
      <w:pPr>
        <w:keepNext/>
        <w:spacing w:before="60" w:after="0" w:line="300" w:lineRule="auto"/>
      </w:pPr>
      <w:r>
        <w:rPr>
          <w:rFonts w:eastAsia="Cambria"/>
          <w:b/>
          <w:i/>
        </w:rPr>
        <w:t>3.1 Prinsip Alkitabiah Pertumbuhan Gereja yang Holistik</w:t>
      </w:r>
    </w:p>
    <w:p w14:paraId="5D003D1B" w14:textId="77777777" w:rsidR="0071350F" w:rsidRDefault="00000000">
      <w:pPr>
        <w:spacing w:after="0" w:line="300" w:lineRule="auto"/>
        <w:ind w:firstLine="567"/>
        <w:jc w:val="both"/>
      </w:pPr>
      <w:r>
        <w:rPr>
          <w:rFonts w:eastAsia="Cambria"/>
        </w:rPr>
        <w:t>Materi kegiatan dirumuskan berdasarkan lima fungsi gereja yang tampak dalam kehidupan jemaat mula-mula, yaitu kerygma (pemberitaan Firman), koinonia (persekutuan), leitourgia (ibadah), diakonia (pelayanan), dan marturia (kesaksian). Kelima fungsi tersebut dipahami sebagai satu kesatuan: pemberitaan tanpa pemuridan berisiko menghasilkan keterlibatan yang dangkal, sedangkan persekutuan tanpa kesaksian dapat membuat gereja berorientasi ke dalam. Perspektif ini sejalan dengan gagasan pertumbuhan gereja yang menempatkan penginjilan dan pemuridan sebagai proses sengaja, bukan sekadar menunggu pertumbuhan alami.</w:t>
      </w:r>
      <w:r>
        <w:footnoteReference w:id="5"/>
      </w:r>
      <w:r>
        <w:rPr>
          <w:rFonts w:eastAsia="Cambria"/>
        </w:rPr>
        <w:t xml:space="preserve"> Dalam tradisi Advent, panggilan setiap anggota sebagai pekerja Injil menguatkan tanggung jawab bersama atas pelayanan gereja lokal.</w:t>
      </w:r>
      <w:r>
        <w:footnoteReference w:id="6"/>
      </w:r>
    </w:p>
    <w:p w14:paraId="6D352C04" w14:textId="77777777" w:rsidR="0071350F" w:rsidRDefault="00000000">
      <w:pPr>
        <w:keepNext/>
        <w:spacing w:before="80" w:after="40" w:line="240" w:lineRule="auto"/>
      </w:pPr>
      <w:r>
        <w:rPr>
          <w:rFonts w:eastAsia="Cambria"/>
          <w:b/>
          <w:sz w:val="22"/>
        </w:rPr>
        <w:t xml:space="preserve">Tabel 2. </w:t>
      </w:r>
      <w:r>
        <w:rPr>
          <w:rFonts w:eastAsia="Cambria"/>
          <w:sz w:val="22"/>
        </w:rPr>
        <w:t>Perubahan dan luaran utama kegiatan</w:t>
      </w:r>
    </w:p>
    <w:tbl>
      <w:tblPr>
        <w:tblStyle w:val="TableGrid"/>
        <w:tblW w:w="0" w:type="auto"/>
        <w:jc w:val="cente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268"/>
        <w:gridCol w:w="2268"/>
        <w:gridCol w:w="2835"/>
        <w:gridCol w:w="2268"/>
      </w:tblGrid>
      <w:tr w:rsidR="0071350F" w14:paraId="6C3F806A" w14:textId="77777777">
        <w:trPr>
          <w:tblHeader/>
          <w:jc w:val="center"/>
        </w:trPr>
        <w:tc>
          <w:tcPr>
            <w:tcW w:w="2268" w:type="dxa"/>
            <w:shd w:val="clear" w:color="auto" w:fill="D9EAF7"/>
            <w:tcMar>
              <w:top w:w="70" w:type="dxa"/>
              <w:left w:w="70" w:type="dxa"/>
              <w:bottom w:w="70" w:type="dxa"/>
              <w:right w:w="70" w:type="dxa"/>
            </w:tcMar>
            <w:vAlign w:val="center"/>
          </w:tcPr>
          <w:p w14:paraId="2BE69548" w14:textId="77777777" w:rsidR="0071350F" w:rsidRDefault="00000000">
            <w:pPr>
              <w:jc w:val="center"/>
            </w:pPr>
            <w:r>
              <w:rPr>
                <w:rFonts w:eastAsia="Cambria"/>
                <w:b/>
                <w:sz w:val="18"/>
              </w:rPr>
              <w:t>Indikator</w:t>
            </w:r>
          </w:p>
        </w:tc>
        <w:tc>
          <w:tcPr>
            <w:tcW w:w="2268" w:type="dxa"/>
            <w:shd w:val="clear" w:color="auto" w:fill="D9EAF7"/>
            <w:tcMar>
              <w:top w:w="70" w:type="dxa"/>
              <w:left w:w="70" w:type="dxa"/>
              <w:bottom w:w="70" w:type="dxa"/>
              <w:right w:w="70" w:type="dxa"/>
            </w:tcMar>
            <w:vAlign w:val="center"/>
          </w:tcPr>
          <w:p w14:paraId="47F9C080" w14:textId="77777777" w:rsidR="0071350F" w:rsidRDefault="00000000">
            <w:pPr>
              <w:jc w:val="center"/>
            </w:pPr>
            <w:r>
              <w:rPr>
                <w:rFonts w:eastAsia="Cambria"/>
                <w:b/>
                <w:sz w:val="18"/>
              </w:rPr>
              <w:t>Kondisi Awal</w:t>
            </w:r>
          </w:p>
        </w:tc>
        <w:tc>
          <w:tcPr>
            <w:tcW w:w="2835" w:type="dxa"/>
            <w:shd w:val="clear" w:color="auto" w:fill="D9EAF7"/>
            <w:tcMar>
              <w:top w:w="70" w:type="dxa"/>
              <w:left w:w="70" w:type="dxa"/>
              <w:bottom w:w="70" w:type="dxa"/>
              <w:right w:w="70" w:type="dxa"/>
            </w:tcMar>
            <w:vAlign w:val="center"/>
          </w:tcPr>
          <w:p w14:paraId="535AC411" w14:textId="77777777" w:rsidR="0071350F" w:rsidRDefault="00000000">
            <w:pPr>
              <w:jc w:val="center"/>
            </w:pPr>
            <w:r>
              <w:rPr>
                <w:rFonts w:eastAsia="Cambria"/>
                <w:b/>
                <w:sz w:val="18"/>
              </w:rPr>
              <w:t>Hasil Setelah Kegiatan</w:t>
            </w:r>
          </w:p>
        </w:tc>
        <w:tc>
          <w:tcPr>
            <w:tcW w:w="2268" w:type="dxa"/>
            <w:shd w:val="clear" w:color="auto" w:fill="D9EAF7"/>
            <w:tcMar>
              <w:top w:w="70" w:type="dxa"/>
              <w:left w:w="70" w:type="dxa"/>
              <w:bottom w:w="70" w:type="dxa"/>
              <w:right w:w="70" w:type="dxa"/>
            </w:tcMar>
            <w:vAlign w:val="center"/>
          </w:tcPr>
          <w:p w14:paraId="5C20AAA6" w14:textId="77777777" w:rsidR="0071350F" w:rsidRDefault="00000000">
            <w:pPr>
              <w:jc w:val="center"/>
            </w:pPr>
            <w:r>
              <w:rPr>
                <w:rFonts w:eastAsia="Cambria"/>
                <w:b/>
                <w:sz w:val="18"/>
              </w:rPr>
              <w:t>Makna Program</w:t>
            </w:r>
          </w:p>
        </w:tc>
      </w:tr>
      <w:tr w:rsidR="0071350F" w14:paraId="1B844522" w14:textId="77777777">
        <w:trPr>
          <w:jc w:val="center"/>
        </w:trPr>
        <w:tc>
          <w:tcPr>
            <w:tcW w:w="2268" w:type="dxa"/>
            <w:tcMar>
              <w:top w:w="70" w:type="dxa"/>
              <w:left w:w="70" w:type="dxa"/>
              <w:bottom w:w="70" w:type="dxa"/>
              <w:right w:w="70" w:type="dxa"/>
            </w:tcMar>
            <w:vAlign w:val="center"/>
          </w:tcPr>
          <w:p w14:paraId="5B2E41BE" w14:textId="77777777" w:rsidR="0071350F" w:rsidRDefault="00000000">
            <w:pPr>
              <w:jc w:val="center"/>
            </w:pPr>
            <w:r>
              <w:rPr>
                <w:rFonts w:eastAsia="Cambria"/>
                <w:sz w:val="18"/>
              </w:rPr>
              <w:t>Pemahaman prinsip pertumbuhan gereja</w:t>
            </w:r>
          </w:p>
        </w:tc>
        <w:tc>
          <w:tcPr>
            <w:tcW w:w="2268" w:type="dxa"/>
            <w:tcMar>
              <w:top w:w="70" w:type="dxa"/>
              <w:left w:w="70" w:type="dxa"/>
              <w:bottom w:w="70" w:type="dxa"/>
              <w:right w:w="70" w:type="dxa"/>
            </w:tcMar>
            <w:vAlign w:val="center"/>
          </w:tcPr>
          <w:p w14:paraId="189CEAC5" w14:textId="77777777" w:rsidR="0071350F" w:rsidRDefault="00000000">
            <w:pPr>
              <w:jc w:val="center"/>
            </w:pPr>
            <w:r>
              <w:rPr>
                <w:rFonts w:eastAsia="Cambria"/>
                <w:sz w:val="18"/>
              </w:rPr>
              <w:t>Rata-rata pre-test 52/100</w:t>
            </w:r>
          </w:p>
        </w:tc>
        <w:tc>
          <w:tcPr>
            <w:tcW w:w="2835" w:type="dxa"/>
            <w:tcMar>
              <w:top w:w="70" w:type="dxa"/>
              <w:left w:w="70" w:type="dxa"/>
              <w:bottom w:w="70" w:type="dxa"/>
              <w:right w:w="70" w:type="dxa"/>
            </w:tcMar>
            <w:vAlign w:val="center"/>
          </w:tcPr>
          <w:p w14:paraId="56E74BC0" w14:textId="77777777" w:rsidR="0071350F" w:rsidRDefault="00000000">
            <w:r>
              <w:rPr>
                <w:rFonts w:eastAsia="Cambria"/>
                <w:sz w:val="18"/>
              </w:rPr>
              <w:t>Rata-rata post-test 81/100</w:t>
            </w:r>
          </w:p>
        </w:tc>
        <w:tc>
          <w:tcPr>
            <w:tcW w:w="2268" w:type="dxa"/>
            <w:tcMar>
              <w:top w:w="70" w:type="dxa"/>
              <w:left w:w="70" w:type="dxa"/>
              <w:bottom w:w="70" w:type="dxa"/>
              <w:right w:w="70" w:type="dxa"/>
            </w:tcMar>
            <w:vAlign w:val="center"/>
          </w:tcPr>
          <w:p w14:paraId="0251E9D5" w14:textId="77777777" w:rsidR="0071350F" w:rsidRDefault="00000000">
            <w:pPr>
              <w:jc w:val="center"/>
            </w:pPr>
            <w:r>
              <w:rPr>
                <w:rFonts w:eastAsia="Cambria"/>
                <w:sz w:val="18"/>
              </w:rPr>
              <w:t>Peningkatan 29 poin atau 55,8% dari skor awal</w:t>
            </w:r>
          </w:p>
        </w:tc>
      </w:tr>
      <w:tr w:rsidR="0071350F" w14:paraId="75CC3A68" w14:textId="77777777">
        <w:trPr>
          <w:jc w:val="center"/>
        </w:trPr>
        <w:tc>
          <w:tcPr>
            <w:tcW w:w="2268" w:type="dxa"/>
            <w:tcMar>
              <w:top w:w="70" w:type="dxa"/>
              <w:left w:w="70" w:type="dxa"/>
              <w:bottom w:w="70" w:type="dxa"/>
              <w:right w:w="70" w:type="dxa"/>
            </w:tcMar>
            <w:vAlign w:val="center"/>
          </w:tcPr>
          <w:p w14:paraId="3C5CD809" w14:textId="77777777" w:rsidR="0071350F" w:rsidRDefault="00000000">
            <w:pPr>
              <w:jc w:val="center"/>
            </w:pPr>
            <w:r>
              <w:rPr>
                <w:rFonts w:eastAsia="Cambria"/>
                <w:sz w:val="18"/>
              </w:rPr>
              <w:t>Kehadiran dan respons rohani</w:t>
            </w:r>
          </w:p>
        </w:tc>
        <w:tc>
          <w:tcPr>
            <w:tcW w:w="2268" w:type="dxa"/>
            <w:tcMar>
              <w:top w:w="70" w:type="dxa"/>
              <w:left w:w="70" w:type="dxa"/>
              <w:bottom w:w="70" w:type="dxa"/>
              <w:right w:w="70" w:type="dxa"/>
            </w:tcMar>
            <w:vAlign w:val="center"/>
          </w:tcPr>
          <w:p w14:paraId="50D8A1F7" w14:textId="77777777" w:rsidR="0071350F" w:rsidRDefault="00000000">
            <w:pPr>
              <w:jc w:val="center"/>
            </w:pPr>
            <w:r>
              <w:rPr>
                <w:rFonts w:eastAsia="Cambria"/>
                <w:sz w:val="18"/>
              </w:rPr>
              <w:t>Kehadiran dinilai cenderung stagnan</w:t>
            </w:r>
          </w:p>
        </w:tc>
        <w:tc>
          <w:tcPr>
            <w:tcW w:w="2835" w:type="dxa"/>
            <w:tcMar>
              <w:top w:w="70" w:type="dxa"/>
              <w:left w:w="70" w:type="dxa"/>
              <w:bottom w:w="70" w:type="dxa"/>
              <w:right w:w="70" w:type="dxa"/>
            </w:tcMar>
            <w:vAlign w:val="center"/>
          </w:tcPr>
          <w:p w14:paraId="21CA72A0" w14:textId="77777777" w:rsidR="0071350F" w:rsidRDefault="00000000">
            <w:r>
              <w:rPr>
                <w:rFonts w:eastAsia="Cambria"/>
                <w:sz w:val="18"/>
              </w:rPr>
              <w:t>Kehadiran meningkat hingga sesi penutupan; peserta mengisi kartu komitmen</w:t>
            </w:r>
          </w:p>
        </w:tc>
        <w:tc>
          <w:tcPr>
            <w:tcW w:w="2268" w:type="dxa"/>
            <w:tcMar>
              <w:top w:w="70" w:type="dxa"/>
              <w:left w:w="70" w:type="dxa"/>
              <w:bottom w:w="70" w:type="dxa"/>
              <w:right w:w="70" w:type="dxa"/>
            </w:tcMar>
            <w:vAlign w:val="center"/>
          </w:tcPr>
          <w:p w14:paraId="6E9C1B32" w14:textId="77777777" w:rsidR="0071350F" w:rsidRDefault="00000000">
            <w:pPr>
              <w:jc w:val="center"/>
            </w:pPr>
            <w:r>
              <w:rPr>
                <w:rFonts w:eastAsia="Cambria"/>
                <w:sz w:val="18"/>
              </w:rPr>
              <w:t>Muncul penguatan motivasi dan komitmen rohani</w:t>
            </w:r>
          </w:p>
        </w:tc>
      </w:tr>
      <w:tr w:rsidR="0071350F" w14:paraId="6BB27CA3" w14:textId="77777777">
        <w:trPr>
          <w:jc w:val="center"/>
        </w:trPr>
        <w:tc>
          <w:tcPr>
            <w:tcW w:w="2268" w:type="dxa"/>
            <w:tcMar>
              <w:top w:w="70" w:type="dxa"/>
              <w:left w:w="70" w:type="dxa"/>
              <w:bottom w:w="70" w:type="dxa"/>
              <w:right w:w="70" w:type="dxa"/>
            </w:tcMar>
            <w:vAlign w:val="center"/>
          </w:tcPr>
          <w:p w14:paraId="36E9A1B1" w14:textId="77777777" w:rsidR="0071350F" w:rsidRDefault="00000000">
            <w:pPr>
              <w:jc w:val="center"/>
            </w:pPr>
            <w:r>
              <w:rPr>
                <w:rFonts w:eastAsia="Cambria"/>
                <w:sz w:val="18"/>
              </w:rPr>
              <w:t>Kelompok kecil</w:t>
            </w:r>
          </w:p>
        </w:tc>
        <w:tc>
          <w:tcPr>
            <w:tcW w:w="2268" w:type="dxa"/>
            <w:tcMar>
              <w:top w:w="70" w:type="dxa"/>
              <w:left w:w="70" w:type="dxa"/>
              <w:bottom w:w="70" w:type="dxa"/>
              <w:right w:w="70" w:type="dxa"/>
            </w:tcMar>
            <w:vAlign w:val="center"/>
          </w:tcPr>
          <w:p w14:paraId="3BECCB28" w14:textId="77777777" w:rsidR="0071350F" w:rsidRDefault="00000000">
            <w:pPr>
              <w:jc w:val="center"/>
            </w:pPr>
            <w:r>
              <w:rPr>
                <w:rFonts w:eastAsia="Cambria"/>
                <w:sz w:val="18"/>
              </w:rPr>
              <w:t>Belum terstruktur sebagai sistem tindak lanjut</w:t>
            </w:r>
          </w:p>
        </w:tc>
        <w:tc>
          <w:tcPr>
            <w:tcW w:w="2835" w:type="dxa"/>
            <w:tcMar>
              <w:top w:w="70" w:type="dxa"/>
              <w:left w:w="70" w:type="dxa"/>
              <w:bottom w:w="70" w:type="dxa"/>
              <w:right w:w="70" w:type="dxa"/>
            </w:tcMar>
            <w:vAlign w:val="center"/>
          </w:tcPr>
          <w:p w14:paraId="063A9ECB" w14:textId="77777777" w:rsidR="0071350F" w:rsidRDefault="00000000">
            <w:r>
              <w:rPr>
                <w:rFonts w:eastAsia="Cambria"/>
                <w:sz w:val="18"/>
              </w:rPr>
              <w:t>Terbentuk 6 kelompok kecil</w:t>
            </w:r>
          </w:p>
        </w:tc>
        <w:tc>
          <w:tcPr>
            <w:tcW w:w="2268" w:type="dxa"/>
            <w:tcMar>
              <w:top w:w="70" w:type="dxa"/>
              <w:left w:w="70" w:type="dxa"/>
              <w:bottom w:w="70" w:type="dxa"/>
              <w:right w:w="70" w:type="dxa"/>
            </w:tcMar>
            <w:vAlign w:val="center"/>
          </w:tcPr>
          <w:p w14:paraId="11EA7C62" w14:textId="77777777" w:rsidR="0071350F" w:rsidRDefault="00000000">
            <w:pPr>
              <w:jc w:val="center"/>
            </w:pPr>
            <w:r>
              <w:rPr>
                <w:rFonts w:eastAsia="Cambria"/>
                <w:sz w:val="18"/>
              </w:rPr>
              <w:t>Tersedia wadah pemuridan, persekutuan, dan penginjilan</w:t>
            </w:r>
          </w:p>
        </w:tc>
      </w:tr>
      <w:tr w:rsidR="0071350F" w14:paraId="625118C9" w14:textId="77777777">
        <w:trPr>
          <w:jc w:val="center"/>
        </w:trPr>
        <w:tc>
          <w:tcPr>
            <w:tcW w:w="2268" w:type="dxa"/>
            <w:tcMar>
              <w:top w:w="70" w:type="dxa"/>
              <w:left w:w="70" w:type="dxa"/>
              <w:bottom w:w="70" w:type="dxa"/>
              <w:right w:w="70" w:type="dxa"/>
            </w:tcMar>
            <w:vAlign w:val="center"/>
          </w:tcPr>
          <w:p w14:paraId="39646C88" w14:textId="77777777" w:rsidR="0071350F" w:rsidRDefault="00000000">
            <w:pPr>
              <w:jc w:val="center"/>
            </w:pPr>
            <w:r>
              <w:rPr>
                <w:rFonts w:eastAsia="Cambria"/>
                <w:sz w:val="18"/>
              </w:rPr>
              <w:t>Kunjungan pastoral</w:t>
            </w:r>
          </w:p>
        </w:tc>
        <w:tc>
          <w:tcPr>
            <w:tcW w:w="2268" w:type="dxa"/>
            <w:tcMar>
              <w:top w:w="70" w:type="dxa"/>
              <w:left w:w="70" w:type="dxa"/>
              <w:bottom w:w="70" w:type="dxa"/>
              <w:right w:w="70" w:type="dxa"/>
            </w:tcMar>
            <w:vAlign w:val="center"/>
          </w:tcPr>
          <w:p w14:paraId="5CA465DC" w14:textId="77777777" w:rsidR="0071350F" w:rsidRDefault="00000000">
            <w:pPr>
              <w:jc w:val="center"/>
            </w:pPr>
            <w:r>
              <w:rPr>
                <w:rFonts w:eastAsia="Cambria"/>
                <w:sz w:val="18"/>
              </w:rPr>
              <w:t>Belum tersusun secara bergilir</w:t>
            </w:r>
          </w:p>
        </w:tc>
        <w:tc>
          <w:tcPr>
            <w:tcW w:w="2835" w:type="dxa"/>
            <w:tcMar>
              <w:top w:w="70" w:type="dxa"/>
              <w:left w:w="70" w:type="dxa"/>
              <w:bottom w:w="70" w:type="dxa"/>
              <w:right w:w="70" w:type="dxa"/>
            </w:tcMar>
            <w:vAlign w:val="center"/>
          </w:tcPr>
          <w:p w14:paraId="29E49B90" w14:textId="77777777" w:rsidR="0071350F" w:rsidRDefault="00000000">
            <w:r>
              <w:rPr>
                <w:rFonts w:eastAsia="Cambria"/>
                <w:sz w:val="18"/>
              </w:rPr>
              <w:t>Jadwal kunjungan penatua dan diaken/diakones disusun</w:t>
            </w:r>
          </w:p>
        </w:tc>
        <w:tc>
          <w:tcPr>
            <w:tcW w:w="2268" w:type="dxa"/>
            <w:tcMar>
              <w:top w:w="70" w:type="dxa"/>
              <w:left w:w="70" w:type="dxa"/>
              <w:bottom w:w="70" w:type="dxa"/>
              <w:right w:w="70" w:type="dxa"/>
            </w:tcMar>
            <w:vAlign w:val="center"/>
          </w:tcPr>
          <w:p w14:paraId="4230B9B4" w14:textId="77777777" w:rsidR="0071350F" w:rsidRDefault="00000000">
            <w:pPr>
              <w:jc w:val="center"/>
            </w:pPr>
            <w:r>
              <w:rPr>
                <w:rFonts w:eastAsia="Cambria"/>
                <w:sz w:val="18"/>
              </w:rPr>
              <w:t>Pelayanan pastoral menjadi lebih terencana</w:t>
            </w:r>
          </w:p>
        </w:tc>
      </w:tr>
      <w:tr w:rsidR="0071350F" w14:paraId="77CDA9F2" w14:textId="77777777">
        <w:trPr>
          <w:jc w:val="center"/>
        </w:trPr>
        <w:tc>
          <w:tcPr>
            <w:tcW w:w="2268" w:type="dxa"/>
            <w:tcMar>
              <w:top w:w="70" w:type="dxa"/>
              <w:left w:w="70" w:type="dxa"/>
              <w:bottom w:w="70" w:type="dxa"/>
              <w:right w:w="70" w:type="dxa"/>
            </w:tcMar>
            <w:vAlign w:val="center"/>
          </w:tcPr>
          <w:p w14:paraId="5C30D486" w14:textId="77777777" w:rsidR="0071350F" w:rsidRDefault="00000000">
            <w:pPr>
              <w:jc w:val="center"/>
            </w:pPr>
            <w:r>
              <w:rPr>
                <w:rFonts w:eastAsia="Cambria"/>
                <w:sz w:val="18"/>
              </w:rPr>
              <w:t>Kaderisasi</w:t>
            </w:r>
          </w:p>
        </w:tc>
        <w:tc>
          <w:tcPr>
            <w:tcW w:w="2268" w:type="dxa"/>
            <w:tcMar>
              <w:top w:w="70" w:type="dxa"/>
              <w:left w:w="70" w:type="dxa"/>
              <w:bottom w:w="70" w:type="dxa"/>
              <w:right w:w="70" w:type="dxa"/>
            </w:tcMar>
            <w:vAlign w:val="center"/>
          </w:tcPr>
          <w:p w14:paraId="5855FC09" w14:textId="77777777" w:rsidR="0071350F" w:rsidRDefault="00000000">
            <w:pPr>
              <w:jc w:val="center"/>
            </w:pPr>
            <w:r>
              <w:rPr>
                <w:rFonts w:eastAsia="Cambria"/>
                <w:sz w:val="18"/>
              </w:rPr>
              <w:t>Calon pemimpin muda belum dipetakan</w:t>
            </w:r>
          </w:p>
        </w:tc>
        <w:tc>
          <w:tcPr>
            <w:tcW w:w="2835" w:type="dxa"/>
            <w:tcMar>
              <w:top w:w="70" w:type="dxa"/>
              <w:left w:w="70" w:type="dxa"/>
              <w:bottom w:w="70" w:type="dxa"/>
              <w:right w:w="70" w:type="dxa"/>
            </w:tcMar>
            <w:vAlign w:val="center"/>
          </w:tcPr>
          <w:p w14:paraId="75B2B990" w14:textId="77777777" w:rsidR="0071350F" w:rsidRDefault="00000000">
            <w:r>
              <w:rPr>
                <w:rFonts w:eastAsia="Cambria"/>
                <w:sz w:val="18"/>
              </w:rPr>
              <w:t>Calon pemimpin dari kalangan pemuda teridentifikasi</w:t>
            </w:r>
          </w:p>
        </w:tc>
        <w:tc>
          <w:tcPr>
            <w:tcW w:w="2268" w:type="dxa"/>
            <w:tcMar>
              <w:top w:w="70" w:type="dxa"/>
              <w:left w:w="70" w:type="dxa"/>
              <w:bottom w:w="70" w:type="dxa"/>
              <w:right w:w="70" w:type="dxa"/>
            </w:tcMar>
            <w:vAlign w:val="center"/>
          </w:tcPr>
          <w:p w14:paraId="6485B069" w14:textId="77777777" w:rsidR="0071350F" w:rsidRDefault="00000000">
            <w:pPr>
              <w:jc w:val="center"/>
            </w:pPr>
            <w:r>
              <w:rPr>
                <w:rFonts w:eastAsia="Cambria"/>
                <w:sz w:val="18"/>
              </w:rPr>
              <w:t>Menjadi dasar kaderisasi jangka menengah</w:t>
            </w:r>
          </w:p>
        </w:tc>
      </w:tr>
    </w:tbl>
    <w:p w14:paraId="27FDA825" w14:textId="77777777" w:rsidR="0071350F" w:rsidRDefault="00000000">
      <w:pPr>
        <w:keepNext/>
        <w:spacing w:before="60" w:after="0" w:line="300" w:lineRule="auto"/>
      </w:pPr>
      <w:r>
        <w:rPr>
          <w:rFonts w:eastAsia="Cambria"/>
          <w:b/>
          <w:i/>
        </w:rPr>
        <w:lastRenderedPageBreak/>
        <w:t>3.2 Peningkatan Pemahaman Jemaat</w:t>
      </w:r>
    </w:p>
    <w:p w14:paraId="49285767" w14:textId="77777777" w:rsidR="0071350F" w:rsidRDefault="00000000">
      <w:pPr>
        <w:spacing w:after="0" w:line="300" w:lineRule="auto"/>
        <w:ind w:firstLine="567"/>
        <w:jc w:val="both"/>
      </w:pPr>
      <w:r>
        <w:rPr>
          <w:rFonts w:eastAsia="Cambria"/>
        </w:rPr>
        <w:t>Nilai rata-rata pre-test sebesar 52 meningkat menjadi 81 pada post-test. Secara deskriptif, perubahan tersebut setara dengan kenaikan 29 poin atau 55,8% dibandingkan skor awal. Kenaikan ini menunjukkan bahwa penyampaian materi yang dikaitkan langsung dengan masalah jemaat membantu peserta memahami pertumbuhan gereja sebagai proses rohani, relasional, dan misioner. Temuan ini konsisten dengan kajian yang menempatkan keterlibatan anggota dalam pelayanan dan penginjilan sebagai unsur utama pertumbuhan gereja berdasarkan Kisah Para Rasul 2:46-47.</w:t>
      </w:r>
      <w:r>
        <w:footnoteReference w:id="7"/>
      </w:r>
      <w:r>
        <w:rPr>
          <w:rFonts w:eastAsia="Cambria"/>
        </w:rPr>
        <w:t xml:space="preserve"> Namun, hasil tersebut belum dapat disebut signifikan secara statistik karena evaluasi tidak menggunakan uji inferensial dan tidak mencatat skor individual untuk analisis berpasangan. Dengan demikian, temuan paling tepat dibaca sebagai indikasi peningkatan pemahaman pada tingkat kelompok.</w:t>
      </w:r>
    </w:p>
    <w:p w14:paraId="2BADDA98" w14:textId="77777777" w:rsidR="0071350F" w:rsidRDefault="00000000">
      <w:pPr>
        <w:keepNext/>
        <w:spacing w:before="60" w:after="0" w:line="300" w:lineRule="auto"/>
      </w:pPr>
      <w:r>
        <w:rPr>
          <w:rFonts w:eastAsia="Cambria"/>
          <w:b/>
          <w:i/>
        </w:rPr>
        <w:t>3.3 KKR sebagai Penguatan Komitmen Rohani</w:t>
      </w:r>
    </w:p>
    <w:p w14:paraId="47A7BA55" w14:textId="77777777" w:rsidR="0071350F" w:rsidRDefault="00000000">
      <w:pPr>
        <w:spacing w:after="0" w:line="300" w:lineRule="auto"/>
        <w:ind w:firstLine="567"/>
        <w:jc w:val="both"/>
      </w:pPr>
      <w:r>
        <w:rPr>
          <w:rFonts w:eastAsia="Cambria"/>
        </w:rPr>
        <w:t>Rangkaian KKR menghasilkan peningkatan kehadiran hingga kebaktian Sabat penutupan, keterlibatan aktif dalam tanya jawab dan doa syafaat, serta pengisian kartu komitmen. Respons tersebut menunjukkan bahwa khotbah kebangunan rohani masih relevan sebagai ruang refleksi, pertobatan, dan pembaruan orientasi pelayanan ketika pesannya dikaitkan dengan kehidupan jemaat. Kajian mengenai khotbah kebangunan rohani juga menekankan perannya dalam membangkitkan kesadaran iman dan dorongan untuk bertindak, bukan hanya memberikan pengalaman emosional sesaat.</w:t>
      </w:r>
      <w:r>
        <w:footnoteReference w:id="8"/>
      </w:r>
    </w:p>
    <w:p w14:paraId="08A422CD" w14:textId="77777777" w:rsidR="0071350F" w:rsidRDefault="00000000">
      <w:pPr>
        <w:spacing w:after="0" w:line="300" w:lineRule="auto"/>
        <w:ind w:firstLine="567"/>
        <w:jc w:val="both"/>
      </w:pPr>
      <w:r>
        <w:rPr>
          <w:rFonts w:eastAsia="Cambria"/>
        </w:rPr>
        <w:t>Walaupun respons selama kegiatan positif, keberhasilan KKR tidak dapat diukur hanya dari peningkatan kehadiran dalam empat hari. Komitmen perlu diterjemahkan ke dalam kebiasaan doa, keterlibatan kelompok kecil, pelayanan kunjungan, dan penginjilan pribadi. Karena itu, KKR ditempatkan sebagai pintu masuk yang diikuti struktur pendampingan, bukan sebagai program yang berdiri sendiri.</w:t>
      </w:r>
    </w:p>
    <w:p w14:paraId="1BD7D6BC" w14:textId="77777777" w:rsidR="0071350F" w:rsidRDefault="00000000">
      <w:pPr>
        <w:keepNext/>
        <w:spacing w:before="60" w:after="0" w:line="300" w:lineRule="auto"/>
      </w:pPr>
      <w:r>
        <w:rPr>
          <w:rFonts w:eastAsia="Cambria"/>
          <w:b/>
          <w:i/>
        </w:rPr>
        <w:t>3.4 Kelompok Kecil dan Kaderisasi Pelayan</w:t>
      </w:r>
    </w:p>
    <w:p w14:paraId="4255AFFB" w14:textId="77777777" w:rsidR="0071350F" w:rsidRDefault="00000000">
      <w:pPr>
        <w:spacing w:after="0" w:line="300" w:lineRule="auto"/>
        <w:ind w:firstLine="567"/>
        <w:jc w:val="both"/>
      </w:pPr>
      <w:r>
        <w:rPr>
          <w:rFonts w:eastAsia="Cambria"/>
        </w:rPr>
        <w:t>Workshop menghasilkan enam kelompok kecil yang dirancang sebagai wadah pemuridan dan penginjilan. Pembentukan kelompok kecil penting karena relasi yang dekat memungkinkan anggota saling memperhatikan, mendoakan, mempelajari Alkitab, dan bertanggung jawab atas komitmen pelayanan. Penelitian empiris menunjukkan bahwa modal sosial yang terbentuk melalui relasi jemaat berkaitan dengan perkembangan iman dan persepsi pertumbuhan gereja.</w:t>
      </w:r>
      <w:r>
        <w:footnoteReference w:id="9"/>
      </w:r>
      <w:r>
        <w:rPr>
          <w:rFonts w:eastAsia="Cambria"/>
        </w:rPr>
        <w:t xml:space="preserve"> Sebaliknya, partisipasi </w:t>
      </w:r>
      <w:r>
        <w:rPr>
          <w:rFonts w:eastAsia="Cambria"/>
        </w:rPr>
        <w:lastRenderedPageBreak/>
        <w:t>kelompok kecil dan strategi pelayanan yang tidak efektif termasuk tantangan yang lebih terasa pada gereja yang tidak bertumbuh.</w:t>
      </w:r>
      <w:r>
        <w:footnoteReference w:id="10"/>
      </w:r>
    </w:p>
    <w:p w14:paraId="6C4D072C" w14:textId="77777777" w:rsidR="0071350F" w:rsidRDefault="00000000">
      <w:pPr>
        <w:spacing w:after="0" w:line="300" w:lineRule="auto"/>
        <w:ind w:firstLine="567"/>
        <w:jc w:val="both"/>
      </w:pPr>
      <w:r>
        <w:rPr>
          <w:rFonts w:eastAsia="Cambria"/>
        </w:rPr>
        <w:t>Selain pembentukan kelompok kecil, workshop menyusun jadwal kunjungan pastoral secara bergilir dan mengidentifikasi calon pemimpin dari kalangan pemuda. Luaran ini menggeser kaderisasi dari pola informal menjadi proses yang lebih terencana. Peran pemimpin tetap penting, tetapi fungsi utamanya adalah memperlengkapi anggota agar mampu melayani, bukan memusatkan seluruh kegiatan pada satu atau dua orang. Pendekatan tersebut mengurangi ketergantungan program pada figur tertentu dan memperbesar peluang keberlanjutan.</w:t>
      </w:r>
    </w:p>
    <w:p w14:paraId="62191EC4" w14:textId="77777777" w:rsidR="0071350F" w:rsidRDefault="00000000">
      <w:pPr>
        <w:keepNext/>
        <w:spacing w:before="60" w:after="0" w:line="300" w:lineRule="auto"/>
      </w:pPr>
      <w:r>
        <w:rPr>
          <w:rFonts w:eastAsia="Cambria"/>
          <w:b/>
          <w:i/>
        </w:rPr>
        <w:t>3.5 Penginjilan, Pelayanan, dan Keberlanjutan</w:t>
      </w:r>
    </w:p>
    <w:p w14:paraId="78BE21BD" w14:textId="77777777" w:rsidR="0071350F" w:rsidRDefault="00000000">
      <w:pPr>
        <w:spacing w:after="0" w:line="300" w:lineRule="auto"/>
        <w:ind w:firstLine="567"/>
        <w:jc w:val="both"/>
      </w:pPr>
      <w:r>
        <w:rPr>
          <w:rFonts w:eastAsia="Cambria"/>
        </w:rPr>
        <w:t>Rencana tindak lanjut menggabungkan penginjilan pribadi, kunjungan pastoral, evaluasi kelompok kecil setiap bulan, dan pemetaan calon pemimpin. Pola ini menjawab masalah pertumbuhan yang sebelumnya lebih mengandalkan kelahiran alami atau perpindahan keluarga. Studi pada gereja lain memperlihatkan bahwa pelaksanaan Amanat Agung yang lemah, tidak adanya pelatihan sistematis, dan ketergantungan pada pertumbuhan biologis dapat membatasi pertumbuhan rohani maupun keanggotaan.</w:t>
      </w:r>
      <w:r>
        <w:footnoteReference w:id="11"/>
      </w:r>
      <w:r>
        <w:rPr>
          <w:rFonts w:eastAsia="Cambria"/>
        </w:rPr>
        <w:t xml:space="preserve"> Pelayanan diakonia juga perlu dipertahankan sebagai bentuk kesaksian yang menyentuh kebutuhan nyata masyarakat, terutama dalam konteks kepulauan yang menghadapi kendala mobilitas dan akses.</w:t>
      </w:r>
      <w:r>
        <w:footnoteReference w:id="12"/>
      </w:r>
    </w:p>
    <w:p w14:paraId="31213603" w14:textId="77777777" w:rsidR="0071350F" w:rsidRDefault="00000000">
      <w:pPr>
        <w:spacing w:after="0" w:line="300" w:lineRule="auto"/>
        <w:ind w:firstLine="567"/>
        <w:jc w:val="both"/>
      </w:pPr>
      <w:r>
        <w:rPr>
          <w:rFonts w:eastAsia="Cambria"/>
        </w:rPr>
        <w:t>Faktor pendukung kegiatan meliputi antusiasme jemaat, dukungan pimpinan lokal, kerja sama wilayah pelayanan, dan ketersediaan gedung gereja. Faktor penghambatnya adalah kondisi geografis kepulauan, kesulitan mobilitas sebagian peserta, dan durasi pelaksanaan yang singkat. Selain itu, dokumentasi jumlah peserta per sesi dan hasil monitoring satu bulan belum tersedia dalam naskah awal. Keterbatasan ini perlu diperbaiki pada kegiatan berikutnya melalui daftar hadir terstandar, instrumen skor individual, indikator aktivitas kelompok kecil, serta pengukuran tindak lanjut tiga sampai enam bulan.</w:t>
      </w:r>
    </w:p>
    <w:p w14:paraId="6221EFB9" w14:textId="77777777" w:rsidR="0071350F" w:rsidRDefault="00000000">
      <w:pPr>
        <w:keepNext/>
        <w:spacing w:before="120" w:after="0" w:line="300" w:lineRule="auto"/>
      </w:pPr>
      <w:r>
        <w:rPr>
          <w:rFonts w:eastAsia="Cambria"/>
          <w:b/>
        </w:rPr>
        <w:t>4.  Kesimpulan</w:t>
      </w:r>
    </w:p>
    <w:p w14:paraId="4AF675DB" w14:textId="77777777" w:rsidR="0071350F" w:rsidRDefault="00000000">
      <w:pPr>
        <w:spacing w:after="0" w:line="300" w:lineRule="auto"/>
        <w:ind w:firstLine="567"/>
        <w:jc w:val="both"/>
      </w:pPr>
      <w:r>
        <w:rPr>
          <w:rFonts w:eastAsia="Cambria"/>
        </w:rPr>
        <w:t xml:space="preserve">Implementasi prinsip Alkitabiah melalui KKR, seminar, dan workshop berhasil membangun pemahaman yang lebih utuh mengenai pertumbuhan gereja, meningkatkan rata-rata skor pengetahuan dari 52 menjadi 81, membentuk enam kelompok kecil, menyusun jadwal kunjungan pastoral, dan mengidentifikasi calon pemimpin muda. Temuan utama kegiatan ini adalah bahwa pembinaan rohani menjadi lebih operasional ketika pemberitaan Firman dihubungkan dengan persekutuan, pelayanan, kesaksian, dan struktur tindak lanjut. Keberlanjutan program memerlukan pendampingan LPPM, </w:t>
      </w:r>
      <w:r>
        <w:rPr>
          <w:rFonts w:eastAsia="Cambria"/>
        </w:rPr>
        <w:lastRenderedPageBreak/>
        <w:t>evaluasi bulanan oleh jemaat, dokumentasi indikator yang konsisten, dan pengukuran dampak jangka menengah. Model ini dapat direplikasi pada jemaat GMAHK lain di Kepulauan Samosir dengan penyesuaian terhadap kondisi geografis, kapasitas pelayan, dan kebutuhan lokal.</w:t>
      </w:r>
    </w:p>
    <w:p w14:paraId="6C1430BE" w14:textId="77777777" w:rsidR="0071350F" w:rsidRDefault="00000000">
      <w:pPr>
        <w:keepNext/>
        <w:spacing w:before="120" w:after="0" w:line="300" w:lineRule="auto"/>
      </w:pPr>
      <w:r>
        <w:rPr>
          <w:rFonts w:eastAsia="Cambria"/>
          <w:b/>
        </w:rPr>
        <w:t>Ucapan Terima Kasih</w:t>
      </w:r>
    </w:p>
    <w:p w14:paraId="5D9ECF39" w14:textId="77777777" w:rsidR="0071350F" w:rsidRDefault="00000000">
      <w:pPr>
        <w:spacing w:after="0" w:line="300" w:lineRule="auto"/>
        <w:ind w:firstLine="567"/>
        <w:jc w:val="both"/>
      </w:pPr>
      <w:r>
        <w:rPr>
          <w:rFonts w:eastAsia="Cambria"/>
        </w:rPr>
        <w:t>Tim pengabdi menyampaikan terima kasih kepada Lembaga Penelitian dan Pengabdian kepada Masyarakat (LPPM) Universitas Advent Surya Nusantara, Pematangsiantar, di bawah pimpinan Yakobus Lau De Yung Sinaga, BSND, MPH., DrPH., atas dukungan pendanaan dan fasilitasi kegiatan. Apresiasi juga disampaikan kepada pimpinan dan seluruh anggota GMAHK Jemaat Immanuel, Sigaol-Samosir, atas partisipasi aktif dan kerja sama selama pelaksanaan kegiatan.</w:t>
      </w:r>
    </w:p>
    <w:p w14:paraId="3080B49F" w14:textId="77777777" w:rsidR="0071350F" w:rsidRDefault="00000000">
      <w:pPr>
        <w:keepNext/>
        <w:spacing w:before="120" w:after="0" w:line="300" w:lineRule="auto"/>
      </w:pPr>
      <w:r>
        <w:rPr>
          <w:rFonts w:eastAsia="Cambria"/>
          <w:b/>
        </w:rPr>
        <w:t>Daftar Pustaka</w:t>
      </w:r>
    </w:p>
    <w:p w14:paraId="549DF55A" w14:textId="77777777" w:rsidR="0071350F" w:rsidRDefault="00000000">
      <w:pPr>
        <w:spacing w:after="60" w:line="240" w:lineRule="auto"/>
        <w:ind w:left="425" w:hanging="425"/>
        <w:jc w:val="both"/>
      </w:pPr>
      <w:r>
        <w:rPr>
          <w:rFonts w:eastAsia="Cambria"/>
          <w:sz w:val="22"/>
        </w:rPr>
        <w:t>Dunaetz, David R. “Growing and Declining Churches Face Different Challenges: A Statistical Analysis of the Top Ten Challenges Facing Churches Study.” Great Commission Research Journal 15, no. 1 (2023): 27-42.</w:t>
      </w:r>
    </w:p>
    <w:p w14:paraId="4ADA635F" w14:textId="77777777" w:rsidR="0071350F" w:rsidRDefault="00000000">
      <w:pPr>
        <w:spacing w:after="60" w:line="240" w:lineRule="auto"/>
        <w:ind w:left="425" w:hanging="425"/>
        <w:jc w:val="both"/>
      </w:pPr>
      <w:r>
        <w:rPr>
          <w:rFonts w:eastAsia="Cambria"/>
          <w:sz w:val="22"/>
        </w:rPr>
        <w:t>Francis, Leslie J., David W. Lankshear, dan Ursula McKenna. “Building a Relational Culture and Empirical Theology: Exploring the Impact of Congregational Bonding Social Capital on Perceived Faith Development and Perceived Church Growth.” Rural Theology 21, no. 2 (2023): 84-94. https://doi.org/10.1080/14704994.2023.2255805.</w:t>
      </w:r>
    </w:p>
    <w:p w14:paraId="37232002" w14:textId="77777777" w:rsidR="0071350F" w:rsidRDefault="00000000">
      <w:pPr>
        <w:spacing w:after="60" w:line="240" w:lineRule="auto"/>
        <w:ind w:left="425" w:hanging="425"/>
        <w:jc w:val="both"/>
      </w:pPr>
      <w:r>
        <w:rPr>
          <w:rFonts w:eastAsia="Cambria"/>
          <w:sz w:val="22"/>
        </w:rPr>
        <w:t>Hermanto, Yanto Paulus. “Peningkatan Pertumbuhan Gereja Melalui Sikap Gembala Jemaat Berdasarkan 1 Petrus 5:2-3.” Jurnal Teologi Berita Hidup 3, no. 2 (2021): 205-215. https://doi.org/10.38189/jtbh.v3i2.82.</w:t>
      </w:r>
    </w:p>
    <w:p w14:paraId="598FC72A" w14:textId="77777777" w:rsidR="0071350F" w:rsidRDefault="00000000">
      <w:pPr>
        <w:spacing w:after="60" w:line="240" w:lineRule="auto"/>
        <w:ind w:left="425" w:hanging="425"/>
        <w:jc w:val="both"/>
      </w:pPr>
      <w:r>
        <w:rPr>
          <w:rFonts w:eastAsia="Cambria"/>
          <w:sz w:val="22"/>
        </w:rPr>
        <w:t>Indarto, Tommy. “From the Church, With the Church, and For the Church: Another Look at the Significance of Parachurch for Church Growth.” Veritas: Jurnal Teologi dan Pelayanan 22, no. 1 (2023): 69-79. https://doi.org/10.36421/veritas.v22i1.603.</w:t>
      </w:r>
    </w:p>
    <w:p w14:paraId="7BD8794F" w14:textId="77777777" w:rsidR="0071350F" w:rsidRDefault="00000000">
      <w:pPr>
        <w:spacing w:after="60" w:line="240" w:lineRule="auto"/>
        <w:ind w:left="425" w:hanging="425"/>
        <w:jc w:val="both"/>
      </w:pPr>
      <w:r>
        <w:rPr>
          <w:rFonts w:eastAsia="Cambria"/>
          <w:sz w:val="22"/>
        </w:rPr>
        <w:t>Kigya, David Kitonde, John Njoroge, dan Samuel Kathia. “The Influence of the Practical Implementation of the Great Commission Missiological Praxis on Church Growth Among Mainline Churches in the Busoga Region.” Journal of Sociology, Psychology and Religious 5, no. 5 (2025): 14-29. https://doi.org/10.70619/vol5iss5pp14-29.</w:t>
      </w:r>
    </w:p>
    <w:p w14:paraId="3AB2D0D9" w14:textId="77777777" w:rsidR="0071350F" w:rsidRDefault="00000000">
      <w:pPr>
        <w:spacing w:after="60" w:line="240" w:lineRule="auto"/>
        <w:ind w:left="425" w:hanging="425"/>
        <w:jc w:val="both"/>
      </w:pPr>
      <w:r>
        <w:rPr>
          <w:rFonts w:eastAsia="Cambria"/>
          <w:sz w:val="22"/>
        </w:rPr>
        <w:t>McGavran, Donald A. Understanding Church Growth. Edisi ke-3. Grand Rapids: William B. Eerdmans, 1990.</w:t>
      </w:r>
    </w:p>
    <w:p w14:paraId="7902E620" w14:textId="77777777" w:rsidR="0071350F" w:rsidRDefault="00000000">
      <w:pPr>
        <w:spacing w:after="60" w:line="240" w:lineRule="auto"/>
        <w:ind w:left="425" w:hanging="425"/>
        <w:jc w:val="both"/>
      </w:pPr>
      <w:r>
        <w:rPr>
          <w:rFonts w:eastAsia="Cambria"/>
          <w:sz w:val="22"/>
        </w:rPr>
        <w:t>Nicolas, Djone Georges, Adolf Bastian Butar-butar, Timothy Amien Rk, Soneta Sang Surya Siahaan, dan Simon Marbun. “The Impact of Online Worship on Church Growth During the Covid-19 Pandemic at GBI Kasih Karunia Bogor.” Indonesian Journal of Advanced Research 2, no. 2 (2023): 95-104. https://doi.org/10.55927/ijar.v2i2.3091.</w:t>
      </w:r>
    </w:p>
    <w:p w14:paraId="7F435CE5" w14:textId="77777777" w:rsidR="0071350F" w:rsidRDefault="00000000">
      <w:pPr>
        <w:spacing w:after="60" w:line="240" w:lineRule="auto"/>
        <w:ind w:left="425" w:hanging="425"/>
        <w:jc w:val="both"/>
      </w:pPr>
      <w:r>
        <w:rPr>
          <w:rFonts w:eastAsia="Cambria"/>
          <w:sz w:val="22"/>
        </w:rPr>
        <w:t>Respatya, K. N. G. Y., dan Ayub Sugiharto. “Pentingnya Peran Khotbah Kebangunan Rohani dalam Jemaat Masa Kini.” Teokristi: Jurnal Teologi Kontekstual dan Pelayanan Kristiani 3, no. 1 (2024): 21-33. https://doi.org/10.38189/jtk.v3i1.840.</w:t>
      </w:r>
    </w:p>
    <w:p w14:paraId="564FC662" w14:textId="77777777" w:rsidR="0071350F" w:rsidRDefault="00000000">
      <w:pPr>
        <w:spacing w:after="60" w:line="240" w:lineRule="auto"/>
        <w:ind w:left="425" w:hanging="425"/>
        <w:jc w:val="both"/>
      </w:pPr>
      <w:r>
        <w:rPr>
          <w:rFonts w:eastAsia="Cambria"/>
          <w:sz w:val="22"/>
        </w:rPr>
        <w:t>Sinaga, Janes, Juita Lusiana Sinambela, Rolyana Ferinia Sibuea, dan Stimson Hutagalung. “Pentingnya Keterlibatan Anggota Jemaat Sebagai Seorang Kristen dalam Penginjilan terhadap Pertumbuhan Gereja.” Teokristi: Jurnal Teologi Kontekstual dan Pelayanan Kristiani 1, no. 2 (2021): 82-93. https://doi.org/10.38189/jtk.v1i2.194.</w:t>
      </w:r>
    </w:p>
    <w:p w14:paraId="4D7A8DEB" w14:textId="77777777" w:rsidR="0071350F" w:rsidRDefault="00000000">
      <w:pPr>
        <w:spacing w:after="60" w:line="240" w:lineRule="auto"/>
        <w:ind w:left="425" w:hanging="425"/>
        <w:jc w:val="both"/>
      </w:pPr>
      <w:r>
        <w:rPr>
          <w:rFonts w:eastAsia="Cambria"/>
          <w:sz w:val="22"/>
        </w:rPr>
        <w:t xml:space="preserve">Sinaga, Janes, Rudolf Weindra Sagala, Rolyana Ferinia Sibuea, dan Stimson Hutagalung. “Pemahaman Konsep Keterlibatan Anggota Jemaat dalam Pelayanan dan Penginjilan </w:t>
      </w:r>
      <w:r>
        <w:rPr>
          <w:rFonts w:eastAsia="Cambria"/>
          <w:sz w:val="22"/>
        </w:rPr>
        <w:lastRenderedPageBreak/>
        <w:t>terhadap Pertumbuhan Gereja Berdasarkan Kisah Para Rasul 2:46-47.” Jurnal Teologi Kontekstual Indonesia 3, no. 1 (2022): 11-20. https://doi.org/10.46445/jtki.v3i1.450.</w:t>
      </w:r>
    </w:p>
    <w:p w14:paraId="71A354EC" w14:textId="77777777" w:rsidR="0071350F" w:rsidRDefault="00000000">
      <w:pPr>
        <w:spacing w:after="60" w:line="240" w:lineRule="auto"/>
        <w:ind w:left="425" w:hanging="425"/>
        <w:jc w:val="both"/>
      </w:pPr>
      <w:r>
        <w:rPr>
          <w:rFonts w:eastAsia="Cambria"/>
          <w:sz w:val="22"/>
        </w:rPr>
        <w:t>Susila, Tirta, dan Yola Pradita. “Peran Pelayanan Diakonia terhadap Pertumbuhan Gereja pada Masa Pandemi Covid-19.” Jurnal Ilmiah Religiosity Entity Humanity 4, no. 1 (2022): 124-133.</w:t>
      </w:r>
    </w:p>
    <w:p w14:paraId="21FDD8CC" w14:textId="77777777" w:rsidR="0071350F" w:rsidRDefault="00000000">
      <w:pPr>
        <w:spacing w:after="60" w:line="240" w:lineRule="auto"/>
        <w:ind w:left="425" w:hanging="425"/>
        <w:jc w:val="both"/>
      </w:pPr>
      <w:r>
        <w:rPr>
          <w:rFonts w:eastAsia="Cambria"/>
          <w:sz w:val="22"/>
        </w:rPr>
        <w:t>White, Ellen G. The Acts of the Apostles. Mountain View, CA: Pacific Press Publishing Association, 1911.</w:t>
      </w:r>
    </w:p>
    <w:sectPr w:rsidR="0071350F">
      <w:headerReference w:type="even" r:id="rId9"/>
      <w:headerReference w:type="default" r:id="rId10"/>
      <w:footerReference w:type="even" r:id="rId11"/>
      <w:footerReference w:type="default" r:id="rId12"/>
      <w:footerReference w:type="first" r:id="rId13"/>
      <w:pgSz w:w="11907" w:h="16839"/>
      <w:pgMar w:top="1418" w:right="1134" w:bottom="1418"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19F3C" w14:textId="77777777" w:rsidR="005A4EDC" w:rsidRDefault="005A4EDC">
      <w:pPr>
        <w:spacing w:after="0" w:line="240" w:lineRule="auto"/>
      </w:pPr>
      <w:r>
        <w:separator/>
      </w:r>
    </w:p>
  </w:endnote>
  <w:endnote w:type="continuationSeparator" w:id="0">
    <w:p w14:paraId="510709C7" w14:textId="77777777" w:rsidR="005A4EDC" w:rsidRDefault="005A4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55E6839B-E9FF-49BD-B6EF-25934698E48B}"/>
    <w:embedBold r:id="rId2" w:fontKey="{AA48ADA2-9C5B-4FD7-A394-AC6361E3659F}"/>
  </w:font>
  <w:font w:name="Cambria">
    <w:panose1 w:val="02040503050406030204"/>
    <w:charset w:val="00"/>
    <w:family w:val="roman"/>
    <w:pitch w:val="variable"/>
    <w:sig w:usb0="E00006FF" w:usb1="420024FF" w:usb2="02000000" w:usb3="00000000" w:csb0="0000019F" w:csb1="00000000"/>
    <w:embedRegular r:id="rId3" w:fontKey="{30B4C03A-9BEC-4155-98B4-2B966AE3DDCE}"/>
    <w:embedBold r:id="rId4" w:fontKey="{C8924906-18BF-45F8-B3C9-AA6564B777D3}"/>
    <w:embedItalic r:id="rId5" w:fontKey="{475771B7-23FD-41BB-83AC-966582ADAC1A}"/>
    <w:embedBoldItalic r:id="rId6" w:fontKey="{4A58FCDA-3FE4-4A57-9AE5-0C88F34D0ED9}"/>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7" w:fontKey="{92AEEF6D-14AA-4E2E-8A95-1BE034C19982}"/>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Regular r:id="rId8" w:fontKey="{0F4D41FD-9374-4D3D-8483-92A2FEF2E6F5}"/>
    <w:embedItalic r:id="rId9" w:fontKey="{AFF81D70-784F-45DA-92A8-9E443D9EF6D6}"/>
  </w:font>
  <w:font w:name="NewsGoth Cn BT">
    <w:altName w:val="Calibri"/>
    <w:charset w:val="00"/>
    <w:family w:val="auto"/>
    <w:pitch w:val="default"/>
  </w:font>
  <w:font w:name="CMBX10">
    <w:altName w:val="Cambria"/>
    <w:panose1 w:val="00000000000000000000"/>
    <w:charset w:val="00"/>
    <w:family w:val="roman"/>
    <w:notTrueType/>
    <w:pitch w:val="default"/>
  </w:font>
  <w:font w:name="Microsoft New Tai Lue">
    <w:panose1 w:val="020B0502040204020203"/>
    <w:charset w:val="00"/>
    <w:family w:val="swiss"/>
    <w:pitch w:val="variable"/>
    <w:sig w:usb0="00000003" w:usb1="00000000" w:usb2="80000000" w:usb3="00000000" w:csb0="00000001" w:csb1="00000000"/>
    <w:embedRegular r:id="rId10" w:fontKey="{BBDECA4D-3985-4118-AB91-C7EE1AE1343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7C34D" w14:textId="77777777" w:rsidR="00537A88" w:rsidRDefault="00537A88">
    <w:pPr>
      <w:pBdr>
        <w:top w:val="nil"/>
        <w:left w:val="nil"/>
        <w:bottom w:val="nil"/>
        <w:right w:val="nil"/>
        <w:between w:val="nil"/>
      </w:pBdr>
      <w:tabs>
        <w:tab w:val="center" w:pos="4680"/>
        <w:tab w:val="right" w:pos="9360"/>
      </w:tabs>
      <w:spacing w:after="0" w:line="240" w:lineRule="auto"/>
      <w:jc w:val="center"/>
      <w:rPr>
        <w:rFonts w:ascii="Microsoft New Tai Lue" w:eastAsia="Microsoft New Tai Lue" w:hAnsi="Microsoft New Tai Lue" w:cs="Microsoft New Tai Lue"/>
        <w:color w:val="000000"/>
        <w:sz w:val="18"/>
        <w:szCs w:val="18"/>
      </w:rPr>
    </w:pPr>
  </w:p>
  <w:p w14:paraId="064C405D" w14:textId="77777777" w:rsidR="00537A88" w:rsidRDefault="00537A88">
    <w:pPr>
      <w:pBdr>
        <w:top w:val="nil"/>
        <w:left w:val="nil"/>
        <w:bottom w:val="nil"/>
        <w:right w:val="nil"/>
        <w:between w:val="nil"/>
      </w:pBdr>
      <w:tabs>
        <w:tab w:val="center" w:pos="4680"/>
        <w:tab w:val="right" w:pos="9360"/>
      </w:tabs>
      <w:spacing w:after="0" w:line="240" w:lineRule="auto"/>
      <w:jc w:val="center"/>
      <w:rPr>
        <w:rFonts w:ascii="Microsoft New Tai Lue" w:eastAsia="Microsoft New Tai Lue" w:hAnsi="Microsoft New Tai Lue" w:cs="Microsoft New Tai Lue"/>
        <w:color w:val="000000"/>
        <w:sz w:val="18"/>
        <w:szCs w:val="18"/>
      </w:rPr>
    </w:pPr>
  </w:p>
  <w:p w14:paraId="364DDCAB" w14:textId="77777777" w:rsidR="00537A88" w:rsidRDefault="00000000">
    <w:pPr>
      <w:pBdr>
        <w:top w:val="nil"/>
        <w:left w:val="nil"/>
        <w:bottom w:val="nil"/>
        <w:right w:val="nil"/>
        <w:between w:val="nil"/>
      </w:pBdr>
      <w:tabs>
        <w:tab w:val="center" w:pos="4680"/>
        <w:tab w:val="right" w:pos="9360"/>
      </w:tabs>
      <w:spacing w:after="0" w:line="240" w:lineRule="auto"/>
      <w:jc w:val="right"/>
      <w:rPr>
        <w:color w:val="000000"/>
      </w:rPr>
    </w:pPr>
    <w:r>
      <w:rPr>
        <w:rFonts w:ascii="Microsoft New Tai Lue" w:hAnsi="Microsoft New Tai Lue"/>
        <w:sz w:val="18"/>
      </w:rPr>
      <w:t xml:space="preserve">Copyright© 2026; Sinaga et al. | </w:t>
    </w:r>
    <w:r>
      <w:rPr>
        <w:rFonts w:ascii="Microsoft New Tai Lue" w:hAnsi="Microsoft New Tai Lue"/>
        <w:sz w:val="18"/>
      </w:rPr>
      <w:fldChar w:fldCharType="begin"/>
    </w:r>
    <w:r>
      <w:rPr>
        <w:rFonts w:ascii="Microsoft New Tai Lue" w:hAnsi="Microsoft New Tai Lue"/>
        <w:sz w:val="18"/>
      </w:rPr>
      <w:instrText xml:space="preserve"> PAGE </w:instrText>
    </w:r>
    <w:r>
      <w:rPr>
        <w:rFonts w:ascii="Microsoft New Tai Lue" w:hAnsi="Microsoft New Tai Lue"/>
        <w:sz w:val="18"/>
      </w:rPr>
      <w:fldChar w:fldCharType="separate"/>
    </w:r>
    <w:r>
      <w:rPr>
        <w:rFonts w:ascii="Microsoft New Tai Lue" w:hAnsi="Microsoft New Tai Lue"/>
        <w:sz w:val="18"/>
      </w:rPr>
      <w:t>1</w:t>
    </w:r>
    <w:r>
      <w:rPr>
        <w:rFonts w:ascii="Microsoft New Tai Lue" w:hAnsi="Microsoft New Tai Lue"/>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D0D19" w14:textId="77777777" w:rsidR="00537A88" w:rsidRDefault="00537A88">
    <w:pPr>
      <w:pBdr>
        <w:top w:val="nil"/>
        <w:left w:val="nil"/>
        <w:bottom w:val="nil"/>
        <w:right w:val="nil"/>
        <w:between w:val="nil"/>
      </w:pBdr>
      <w:tabs>
        <w:tab w:val="center" w:pos="4680"/>
        <w:tab w:val="right" w:pos="9360"/>
      </w:tabs>
      <w:spacing w:after="0" w:line="240" w:lineRule="auto"/>
      <w:jc w:val="center"/>
      <w:rPr>
        <w:color w:val="000000"/>
      </w:rPr>
    </w:pPr>
  </w:p>
  <w:p w14:paraId="113C7212" w14:textId="77777777" w:rsidR="00537A88" w:rsidRDefault="00537A88">
    <w:pPr>
      <w:pBdr>
        <w:top w:val="nil"/>
        <w:left w:val="nil"/>
        <w:bottom w:val="nil"/>
        <w:right w:val="nil"/>
        <w:between w:val="nil"/>
      </w:pBdr>
      <w:tabs>
        <w:tab w:val="center" w:pos="4680"/>
        <w:tab w:val="right" w:pos="9360"/>
      </w:tabs>
      <w:spacing w:after="0" w:line="240" w:lineRule="auto"/>
      <w:jc w:val="center"/>
      <w:rPr>
        <w:color w:val="000000"/>
      </w:rPr>
    </w:pPr>
  </w:p>
  <w:p w14:paraId="56F0C4ED" w14:textId="77777777" w:rsidR="00537A88" w:rsidRDefault="00000000">
    <w:pPr>
      <w:pBdr>
        <w:top w:val="nil"/>
        <w:left w:val="nil"/>
        <w:bottom w:val="nil"/>
        <w:right w:val="nil"/>
        <w:between w:val="nil"/>
      </w:pBdr>
      <w:tabs>
        <w:tab w:val="center" w:pos="4680"/>
        <w:tab w:val="right" w:pos="9360"/>
      </w:tabs>
      <w:spacing w:after="0" w:line="240" w:lineRule="auto"/>
      <w:jc w:val="right"/>
      <w:rPr>
        <w:color w:val="000000"/>
      </w:rPr>
    </w:pPr>
    <w:r>
      <w:rPr>
        <w:rFonts w:ascii="Microsoft New Tai Lue" w:hAnsi="Microsoft New Tai Lue"/>
        <w:sz w:val="18"/>
      </w:rPr>
      <w:t xml:space="preserve">Copyright© 2026; Sinaga et al. | </w:t>
    </w:r>
    <w:r>
      <w:rPr>
        <w:rFonts w:ascii="Microsoft New Tai Lue" w:hAnsi="Microsoft New Tai Lue"/>
        <w:sz w:val="18"/>
      </w:rPr>
      <w:fldChar w:fldCharType="begin"/>
    </w:r>
    <w:r>
      <w:rPr>
        <w:rFonts w:ascii="Microsoft New Tai Lue" w:hAnsi="Microsoft New Tai Lue"/>
        <w:sz w:val="18"/>
      </w:rPr>
      <w:instrText xml:space="preserve"> PAGE </w:instrText>
    </w:r>
    <w:r>
      <w:rPr>
        <w:rFonts w:ascii="Microsoft New Tai Lue" w:hAnsi="Microsoft New Tai Lue"/>
        <w:sz w:val="18"/>
      </w:rPr>
      <w:fldChar w:fldCharType="separate"/>
    </w:r>
    <w:r>
      <w:rPr>
        <w:rFonts w:ascii="Microsoft New Tai Lue" w:hAnsi="Microsoft New Tai Lue"/>
        <w:sz w:val="18"/>
      </w:rPr>
      <w:t>1</w:t>
    </w:r>
    <w:r>
      <w:rPr>
        <w:rFonts w:ascii="Microsoft New Tai Lue" w:hAnsi="Microsoft New Tai Lue"/>
        <w:sz w:val="18"/>
      </w:rPr>
      <w:fldChar w:fldCharType="end"/>
    </w:r>
  </w:p>
  <w:p w14:paraId="6DBF8E43" w14:textId="77777777" w:rsidR="00537A88" w:rsidRDefault="00537A88">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20DBE" w14:textId="77777777" w:rsidR="00537A88" w:rsidRDefault="00537A88">
    <w:pPr>
      <w:pBdr>
        <w:top w:val="nil"/>
        <w:left w:val="nil"/>
        <w:bottom w:val="nil"/>
        <w:right w:val="nil"/>
        <w:between w:val="nil"/>
      </w:pBdr>
      <w:tabs>
        <w:tab w:val="center" w:pos="4680"/>
        <w:tab w:val="right" w:pos="9360"/>
      </w:tabs>
      <w:spacing w:after="0" w:line="240" w:lineRule="auto"/>
      <w:jc w:val="center"/>
      <w:rPr>
        <w:color w:val="000000"/>
      </w:rPr>
    </w:pPr>
  </w:p>
  <w:p w14:paraId="0C261B3A" w14:textId="77777777" w:rsidR="00537A88" w:rsidRDefault="00000000">
    <w:pPr>
      <w:pBdr>
        <w:top w:val="nil"/>
        <w:left w:val="nil"/>
        <w:bottom w:val="nil"/>
        <w:right w:val="nil"/>
        <w:between w:val="nil"/>
      </w:pBdr>
      <w:tabs>
        <w:tab w:val="center" w:pos="4680"/>
        <w:tab w:val="right" w:pos="9360"/>
      </w:tabs>
      <w:spacing w:after="0" w:line="240" w:lineRule="auto"/>
      <w:jc w:val="center"/>
      <w:rPr>
        <w:color w:val="000000"/>
      </w:rPr>
    </w:pPr>
    <w:r>
      <w:rPr>
        <w:noProof/>
      </w:rPr>
      <w:drawing>
        <wp:anchor distT="0" distB="0" distL="114300" distR="114300" simplePos="0" relativeHeight="251658240" behindDoc="0" locked="0" layoutInCell="1" hidden="0" allowOverlap="1" wp14:anchorId="3E75E31C" wp14:editId="4B96802A">
          <wp:simplePos x="0" y="0"/>
          <wp:positionH relativeFrom="column">
            <wp:posOffset>-651507</wp:posOffset>
          </wp:positionH>
          <wp:positionV relativeFrom="paragraph">
            <wp:posOffset>34925</wp:posOffset>
          </wp:positionV>
          <wp:extent cx="590550" cy="207645"/>
          <wp:effectExtent l="0" t="0" r="0" b="0"/>
          <wp:wrapNone/>
          <wp:docPr id="1837382924" name="image1.png" descr="is licensed under a Creative Commons Attribution-NonCommercial-NoDerivs (CC BY-NC-ND)."/>
          <wp:cNvGraphicFramePr/>
          <a:graphic xmlns:a="http://schemas.openxmlformats.org/drawingml/2006/main">
            <a:graphicData uri="http://schemas.openxmlformats.org/drawingml/2006/picture">
              <pic:pic xmlns:pic="http://schemas.openxmlformats.org/drawingml/2006/picture">
                <pic:nvPicPr>
                  <pic:cNvPr id="0" name="image1.png" descr="is licensed under a Creative Commons Attribution-NonCommercial-NoDerivs (CC BY-NC-ND)."/>
                  <pic:cNvPicPr preferRelativeResize="0"/>
                </pic:nvPicPr>
                <pic:blipFill>
                  <a:blip r:embed="rId1"/>
                  <a:srcRect/>
                  <a:stretch>
                    <a:fillRect/>
                  </a:stretch>
                </pic:blipFill>
                <pic:spPr>
                  <a:xfrm>
                    <a:off x="0" y="0"/>
                    <a:ext cx="590550" cy="207645"/>
                  </a:xfrm>
                  <a:prstGeom prst="rect">
                    <a:avLst/>
                  </a:prstGeom>
                  <a:ln/>
                </pic:spPr>
              </pic:pic>
            </a:graphicData>
          </a:graphic>
        </wp:anchor>
      </w:drawing>
    </w:r>
  </w:p>
  <w:p w14:paraId="2CEF3472" w14:textId="77777777" w:rsidR="00537A88" w:rsidRDefault="00000000">
    <w:pPr>
      <w:pBdr>
        <w:top w:val="nil"/>
        <w:left w:val="nil"/>
        <w:bottom w:val="nil"/>
        <w:right w:val="nil"/>
        <w:between w:val="nil"/>
      </w:pBdr>
      <w:tabs>
        <w:tab w:val="center" w:pos="4680"/>
        <w:tab w:val="right" w:pos="9360"/>
      </w:tabs>
      <w:spacing w:after="0" w:line="240" w:lineRule="auto"/>
      <w:jc w:val="both"/>
      <w:rPr>
        <w:rFonts w:ascii="Microsoft New Tai Lue" w:eastAsia="Microsoft New Tai Lue" w:hAnsi="Microsoft New Tai Lue" w:cs="Microsoft New Tai Lue"/>
        <w:color w:val="000000"/>
        <w:sz w:val="18"/>
        <w:szCs w:val="18"/>
      </w:rPr>
    </w:pPr>
    <w:r>
      <w:rPr>
        <w:rFonts w:ascii="Microsoft New Tai Lue" w:eastAsia="Microsoft New Tai Lue" w:hAnsi="Microsoft New Tai Lue" w:cs="Microsoft New Tai Lue"/>
        <w:color w:val="000000"/>
        <w:sz w:val="18"/>
        <w:szCs w:val="18"/>
      </w:rPr>
      <w:tab/>
    </w:r>
    <w:r>
      <w:rPr>
        <w:rFonts w:ascii="Microsoft New Tai Lue" w:eastAsia="Microsoft New Tai Lue" w:hAnsi="Microsoft New Tai Lue" w:cs="Microsoft New Tai Lue"/>
        <w:color w:val="000000"/>
        <w:sz w:val="18"/>
        <w:szCs w:val="18"/>
      </w:rPr>
      <w:tab/>
    </w:r>
    <w:r>
      <w:rPr>
        <w:rFonts w:ascii="Microsoft New Tai Lue" w:eastAsia="Microsoft New Tai Lue" w:hAnsi="Microsoft New Tai Lue" w:cs="Microsoft New Tai Lue"/>
        <w:color w:val="000000"/>
        <w:sz w:val="18"/>
        <w:szCs w:val="18"/>
      </w:rPr>
      <w:tab/>
    </w:r>
    <w:r>
      <w:rPr>
        <w:rFonts w:ascii="Microsoft New Tai Lue" w:eastAsia="Microsoft New Tai Lue" w:hAnsi="Microsoft New Tai Lue" w:cs="Microsoft New Tai Lue"/>
        <w:color w:val="000000"/>
        <w:sz w:val="18"/>
        <w:szCs w:val="18"/>
      </w:rPr>
      <w:tab/>
    </w:r>
    <w:r>
      <w:rPr>
        <w:noProof/>
      </w:rPr>
      <mc:AlternateContent>
        <mc:Choice Requires="wpg">
          <w:drawing>
            <wp:anchor distT="0" distB="0" distL="114300" distR="114300" simplePos="0" relativeHeight="251659264" behindDoc="0" locked="0" layoutInCell="1" hidden="0" allowOverlap="1" wp14:anchorId="67BFA0AD" wp14:editId="3D83E962">
              <wp:simplePos x="0" y="0"/>
              <wp:positionH relativeFrom="column">
                <wp:posOffset>-749299</wp:posOffset>
              </wp:positionH>
              <wp:positionV relativeFrom="paragraph">
                <wp:posOffset>25400</wp:posOffset>
              </wp:positionV>
              <wp:extent cx="3801745" cy="513271"/>
              <wp:effectExtent l="0" t="0" r="0" b="0"/>
              <wp:wrapNone/>
              <wp:docPr id="1837382922" name="Rectangle 1837382922"/>
              <wp:cNvGraphicFramePr/>
              <a:graphic xmlns:a="http://schemas.openxmlformats.org/drawingml/2006/main">
                <a:graphicData uri="http://schemas.microsoft.com/office/word/2010/wordprocessingShape">
                  <wps:wsp>
                    <wps:cNvSpPr/>
                    <wps:spPr>
                      <a:xfrm>
                        <a:off x="3459415" y="3544098"/>
                        <a:ext cx="3773170" cy="471805"/>
                      </a:xfrm>
                      <a:prstGeom prst="rect">
                        <a:avLst/>
                      </a:prstGeom>
                      <a:solidFill>
                        <a:srgbClr val="FFFFFF"/>
                      </a:solidFill>
                      <a:ln w="9525" cap="flat" cmpd="sng">
                        <a:solidFill>
                          <a:schemeClr val="lt1"/>
                        </a:solidFill>
                        <a:prstDash val="solid"/>
                        <a:miter lim="800000"/>
                        <a:headEnd type="none" w="sm" len="sm"/>
                        <a:tailEnd type="none" w="sm" len="sm"/>
                      </a:ln>
                    </wps:spPr>
                    <wps:txbx>
                      <w:txbxContent>
                        <w:p w14:paraId="1476910A" w14:textId="77777777" w:rsidR="00537A88" w:rsidRDefault="00000000">
                          <w:pPr>
                            <w:spacing w:line="258" w:lineRule="auto"/>
                            <w:textDirection w:val="btLr"/>
                          </w:pPr>
                          <w:r>
                            <w:rPr>
                              <w:rFonts w:ascii="Microsoft New Tai Lue" w:eastAsia="Microsoft New Tai Lue" w:hAnsi="Microsoft New Tai Lue" w:cs="Microsoft New Tai Lue"/>
                              <w:color w:val="000000"/>
                              <w:sz w:val="18"/>
                            </w:rPr>
                            <w:t>This work is licensed under a Creative Commons Attribution-ShareAlike 4.0 International (CC BY-SA 4.0)</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-749299</wp:posOffset>
              </wp:positionH>
              <wp:positionV relativeFrom="paragraph">
                <wp:posOffset>25400</wp:posOffset>
              </wp:positionV>
              <wp:extent cx="3801745" cy="513271"/>
              <wp:effectExtent b="0" l="0" r="0" t="0"/>
              <wp:wrapNone/>
              <wp:docPr id="1837382922"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3801745" cy="513271"/>
                      </a:xfrm>
                      <a:prstGeom prst="rect"/>
                      <a:ln/>
                    </pic:spPr>
                  </pic:pic>
                </a:graphicData>
              </a:graphic>
            </wp:anchor>
          </w:drawing>
        </mc:Fallback>
      </mc:AlternateContent>
    </w:r>
  </w:p>
  <w:p w14:paraId="6FBBD1FA" w14:textId="77777777" w:rsidR="00537A88" w:rsidRDefault="00000000">
    <w:pPr>
      <w:pBdr>
        <w:top w:val="nil"/>
        <w:left w:val="nil"/>
        <w:bottom w:val="nil"/>
        <w:right w:val="nil"/>
        <w:between w:val="nil"/>
      </w:pBdr>
      <w:tabs>
        <w:tab w:val="center" w:pos="4680"/>
        <w:tab w:val="right" w:pos="9360"/>
      </w:tabs>
      <w:spacing w:after="0" w:line="240" w:lineRule="auto"/>
      <w:ind w:left="5760" w:firstLine="720"/>
      <w:jc w:val="right"/>
      <w:rPr>
        <w:color w:val="000000"/>
      </w:rPr>
    </w:pPr>
    <w:r>
      <w:rPr>
        <w:rFonts w:ascii="Microsoft New Tai Lue" w:hAnsi="Microsoft New Tai Lue"/>
        <w:sz w:val="18"/>
      </w:rPr>
      <w:t xml:space="preserve">Copyright© 2026; Sinaga et al. | </w:t>
    </w:r>
    <w:r>
      <w:rPr>
        <w:rFonts w:ascii="Microsoft New Tai Lue" w:hAnsi="Microsoft New Tai Lue"/>
        <w:sz w:val="18"/>
      </w:rPr>
      <w:fldChar w:fldCharType="begin"/>
    </w:r>
    <w:r>
      <w:rPr>
        <w:rFonts w:ascii="Microsoft New Tai Lue" w:hAnsi="Microsoft New Tai Lue"/>
        <w:sz w:val="18"/>
      </w:rPr>
      <w:instrText xml:space="preserve"> PAGE </w:instrText>
    </w:r>
    <w:r>
      <w:rPr>
        <w:rFonts w:ascii="Microsoft New Tai Lue" w:hAnsi="Microsoft New Tai Lue"/>
        <w:sz w:val="18"/>
      </w:rPr>
      <w:fldChar w:fldCharType="separate"/>
    </w:r>
    <w:r>
      <w:rPr>
        <w:rFonts w:ascii="Microsoft New Tai Lue" w:hAnsi="Microsoft New Tai Lue"/>
        <w:sz w:val="18"/>
      </w:rPr>
      <w:t>1</w:t>
    </w:r>
    <w:r>
      <w:rPr>
        <w:rFonts w:ascii="Microsoft New Tai Lue" w:hAnsi="Microsoft New Tai Lue"/>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B462B" w14:textId="77777777" w:rsidR="005A4EDC" w:rsidRDefault="005A4EDC">
      <w:pPr>
        <w:spacing w:after="0" w:line="240" w:lineRule="auto"/>
      </w:pPr>
      <w:r>
        <w:separator/>
      </w:r>
    </w:p>
  </w:footnote>
  <w:footnote w:type="continuationSeparator" w:id="0">
    <w:p w14:paraId="78FABBB0" w14:textId="77777777" w:rsidR="005A4EDC" w:rsidRDefault="005A4EDC">
      <w:pPr>
        <w:spacing w:after="0" w:line="240" w:lineRule="auto"/>
      </w:pPr>
      <w:r>
        <w:continuationSeparator/>
      </w:r>
    </w:p>
  </w:footnote>
  <w:footnote w:id="1">
    <w:p w14:paraId="3467B04B" w14:textId="77777777" w:rsidR="0071350F" w:rsidRDefault="00000000">
      <w:pPr>
        <w:spacing w:after="0" w:line="240" w:lineRule="auto"/>
      </w:pPr>
      <w:r>
        <w:rPr>
          <w:rFonts w:eastAsia="Cambria"/>
          <w:sz w:val="18"/>
          <w:szCs w:val="18"/>
        </w:rPr>
        <w:footnoteRef/>
      </w:r>
      <w:r>
        <w:rPr>
          <w:rFonts w:eastAsia="Cambria"/>
          <w:sz w:val="18"/>
          <w:szCs w:val="18"/>
        </w:rPr>
        <w:t>Janes Sinaga, Juita Lusiana Sinambela, Rolyana Ferinia Sibuea, dan Stimson Hutagalung, “Pentingnya Keterlibatan Anggota Jemaat Sebagai Seorang Kristen dalam Penginjilan terhadap Pertumbuhan Gereja,” Teokristi: Jurnal Teologi Kontekstual dan Pelayanan Kristiani 1, no. 2 (2021): 82-93, https://doi.org/10.38189/jtk.v1i2.194.</w:t>
      </w:r>
    </w:p>
  </w:footnote>
  <w:footnote w:id="2">
    <w:p w14:paraId="08E30A63" w14:textId="77777777" w:rsidR="0071350F" w:rsidRDefault="00000000">
      <w:pPr>
        <w:spacing w:after="0" w:line="240" w:lineRule="auto"/>
      </w:pPr>
      <w:r>
        <w:rPr>
          <w:rFonts w:eastAsia="Cambria"/>
          <w:sz w:val="18"/>
          <w:szCs w:val="18"/>
        </w:rPr>
        <w:footnoteRef/>
      </w:r>
      <w:r>
        <w:rPr>
          <w:rFonts w:eastAsia="Cambria"/>
          <w:sz w:val="18"/>
          <w:szCs w:val="18"/>
        </w:rPr>
        <w:t>Yanto Paulus Hermanto, “Peningkatan Pertumbuhan Gereja Melalui Sikap Gembala Jemaat Berdasarkan 1 Petrus 5:2-3,” Jurnal Teologi Berita Hidup 3, no. 2 (2021): 205-215, https://doi.org/10.38189/jtbh.v3i2.82.</w:t>
      </w:r>
    </w:p>
  </w:footnote>
  <w:footnote w:id="3">
    <w:p w14:paraId="091222FA" w14:textId="77777777" w:rsidR="0071350F" w:rsidRDefault="00000000">
      <w:pPr>
        <w:spacing w:after="0" w:line="240" w:lineRule="auto"/>
      </w:pPr>
      <w:r>
        <w:rPr>
          <w:rFonts w:eastAsia="Cambria"/>
          <w:sz w:val="18"/>
          <w:szCs w:val="18"/>
        </w:rPr>
        <w:footnoteRef/>
      </w:r>
      <w:r>
        <w:rPr>
          <w:rFonts w:eastAsia="Cambria"/>
          <w:sz w:val="18"/>
          <w:szCs w:val="18"/>
        </w:rPr>
        <w:t>Leslie J. Francis, David W. Lankshear, dan Ursula McKenna, “Building a Relational Culture and Empirical Theology: Exploring the Impact of Congregational Bonding Social Capital on Perceived Faith Development and Perceived Church Growth,” Rural Theology 21, no. 2 (2023): 84-94, https://doi.org/10.1080/14704994.2023.2255805; David R. Dunaetz, “Growing and Declining Churches Face Different Challenges,” Great Commission Research Journal 15, no. 1 (2023): 27-42.</w:t>
      </w:r>
    </w:p>
  </w:footnote>
  <w:footnote w:id="4">
    <w:p w14:paraId="17D48E57" w14:textId="77777777" w:rsidR="0071350F" w:rsidRDefault="00000000">
      <w:pPr>
        <w:spacing w:after="0" w:line="240" w:lineRule="auto"/>
      </w:pPr>
      <w:r>
        <w:rPr>
          <w:rFonts w:eastAsia="Cambria"/>
          <w:sz w:val="18"/>
          <w:szCs w:val="18"/>
        </w:rPr>
        <w:footnoteRef/>
      </w:r>
      <w:r>
        <w:rPr>
          <w:rFonts w:eastAsia="Cambria"/>
          <w:sz w:val="18"/>
          <w:szCs w:val="18"/>
        </w:rPr>
        <w:t>Tirta Susila dan Yola Pradita, “Peran Pelayanan Diakonia terhadap Pertumbuhan Gereja pada Masa Pandemi Covid-19,” Jurnal Ilmiah Religiosity Entity Humanity 4, no. 1 (2022): 124-133; Tommy Indarto, “From the Church, With the Church, and For the Church,” Veritas: Jurnal Teologi dan Pelayanan 22, no. 1 (2023): 69-79, https://doi.org/10.36421/veritas.v22i1.603.</w:t>
      </w:r>
    </w:p>
  </w:footnote>
  <w:footnote w:id="5">
    <w:p w14:paraId="506557F3" w14:textId="77777777" w:rsidR="0071350F" w:rsidRDefault="00000000">
      <w:pPr>
        <w:spacing w:after="0" w:line="240" w:lineRule="auto"/>
      </w:pPr>
      <w:r>
        <w:rPr>
          <w:rFonts w:eastAsia="Cambria"/>
          <w:sz w:val="18"/>
          <w:szCs w:val="18"/>
        </w:rPr>
        <w:footnoteRef/>
      </w:r>
      <w:r>
        <w:rPr>
          <w:rFonts w:eastAsia="Cambria"/>
          <w:sz w:val="18"/>
          <w:szCs w:val="18"/>
        </w:rPr>
        <w:t>Donald A. McGavran, Understanding Church Growth, ed. ke-3 (Grand Rapids: William B. Eerdmans, 1990).</w:t>
      </w:r>
    </w:p>
  </w:footnote>
  <w:footnote w:id="6">
    <w:p w14:paraId="5AEBF5E5" w14:textId="77777777" w:rsidR="0071350F" w:rsidRDefault="00000000">
      <w:pPr>
        <w:spacing w:after="0" w:line="240" w:lineRule="auto"/>
      </w:pPr>
      <w:r>
        <w:rPr>
          <w:rFonts w:eastAsia="Cambria"/>
          <w:sz w:val="18"/>
          <w:szCs w:val="18"/>
        </w:rPr>
        <w:footnoteRef/>
      </w:r>
      <w:r>
        <w:rPr>
          <w:rFonts w:eastAsia="Cambria"/>
          <w:sz w:val="18"/>
          <w:szCs w:val="18"/>
        </w:rPr>
        <w:t>Ellen G. White, The Acts of the Apostles (Mountain View, CA: Pacific Press Publishing Association, 1911).</w:t>
      </w:r>
    </w:p>
  </w:footnote>
  <w:footnote w:id="7">
    <w:p w14:paraId="29452C42" w14:textId="77777777" w:rsidR="0071350F" w:rsidRDefault="00000000">
      <w:pPr>
        <w:spacing w:after="0" w:line="240" w:lineRule="auto"/>
      </w:pPr>
      <w:r>
        <w:rPr>
          <w:rFonts w:eastAsia="Cambria"/>
          <w:sz w:val="18"/>
          <w:szCs w:val="18"/>
        </w:rPr>
        <w:footnoteRef/>
      </w:r>
      <w:r>
        <w:rPr>
          <w:rFonts w:eastAsia="Cambria"/>
          <w:sz w:val="18"/>
          <w:szCs w:val="18"/>
        </w:rPr>
        <w:t>Janes Sinaga, Rudolf Weindra Sagala, Rolyana Ferinia Sibuea, dan Stimson Hutagalung, “Pemahaman Konsep Keterlibatan Anggota Jemaat dalam Pelayanan dan Penginjilan terhadap Pertumbuhan Gereja Berdasarkan Kisah Para Rasul 2:46-47,” Jurnal Teologi Kontekstual Indonesia 3, no. 1 (2022): 11-20, https://doi.org/10.46445/jtki.v3i1.450.</w:t>
      </w:r>
    </w:p>
  </w:footnote>
  <w:footnote w:id="8">
    <w:p w14:paraId="5DBFA030" w14:textId="77777777" w:rsidR="0071350F" w:rsidRDefault="00000000">
      <w:pPr>
        <w:spacing w:after="0" w:line="240" w:lineRule="auto"/>
      </w:pPr>
      <w:r>
        <w:rPr>
          <w:rFonts w:eastAsia="Cambria"/>
          <w:sz w:val="18"/>
          <w:szCs w:val="18"/>
        </w:rPr>
        <w:footnoteRef/>
      </w:r>
      <w:r>
        <w:rPr>
          <w:rFonts w:eastAsia="Cambria"/>
          <w:sz w:val="18"/>
          <w:szCs w:val="18"/>
        </w:rPr>
        <w:t>K. N. G. Y. Respatya dan Ayub Sugiharto, “Pentingnya Peran Khotbah Kebangunan Rohani dalam Jemaat Masa Kini,” Teokristi: Jurnal Teologi Kontekstual dan Pelayanan Kristiani 3, no. 1 (2024): 21-33, https://doi.org/10.38189/jtk.v3i1.840.</w:t>
      </w:r>
    </w:p>
  </w:footnote>
  <w:footnote w:id="9">
    <w:p w14:paraId="1B7144D4" w14:textId="77777777" w:rsidR="0071350F" w:rsidRDefault="00000000">
      <w:pPr>
        <w:spacing w:after="0" w:line="240" w:lineRule="auto"/>
      </w:pPr>
      <w:r>
        <w:rPr>
          <w:rFonts w:eastAsia="Cambria"/>
          <w:sz w:val="18"/>
          <w:szCs w:val="18"/>
        </w:rPr>
        <w:footnoteRef/>
      </w:r>
      <w:r>
        <w:rPr>
          <w:rFonts w:eastAsia="Cambria"/>
          <w:sz w:val="18"/>
          <w:szCs w:val="18"/>
        </w:rPr>
        <w:t>Francis, Lankshear, dan McKenna, “Building a Relational Culture,” 84-94.</w:t>
      </w:r>
    </w:p>
  </w:footnote>
  <w:footnote w:id="10">
    <w:p w14:paraId="636A485D" w14:textId="77777777" w:rsidR="0071350F" w:rsidRDefault="00000000">
      <w:pPr>
        <w:spacing w:after="0" w:line="240" w:lineRule="auto"/>
      </w:pPr>
      <w:r>
        <w:rPr>
          <w:rFonts w:eastAsia="Cambria"/>
          <w:sz w:val="18"/>
          <w:szCs w:val="18"/>
        </w:rPr>
        <w:footnoteRef/>
      </w:r>
      <w:r>
        <w:rPr>
          <w:rFonts w:eastAsia="Cambria"/>
          <w:sz w:val="18"/>
          <w:szCs w:val="18"/>
        </w:rPr>
        <w:t>Dunaetz, “Growing and Declining Churches,” 27-42.</w:t>
      </w:r>
    </w:p>
  </w:footnote>
  <w:footnote w:id="11">
    <w:p w14:paraId="7F66FF55" w14:textId="77777777" w:rsidR="0071350F" w:rsidRDefault="00000000">
      <w:pPr>
        <w:spacing w:after="0" w:line="240" w:lineRule="auto"/>
      </w:pPr>
      <w:r>
        <w:rPr>
          <w:rFonts w:eastAsia="Cambria"/>
          <w:sz w:val="18"/>
          <w:szCs w:val="18"/>
        </w:rPr>
        <w:footnoteRef/>
      </w:r>
      <w:r>
        <w:rPr>
          <w:rFonts w:eastAsia="Cambria"/>
          <w:sz w:val="18"/>
          <w:szCs w:val="18"/>
        </w:rPr>
        <w:t>David Kitonde Kigya, John Njoroge, dan Samuel Kathia, “The Influence of the Practical Implementation of the Great Commission Missiological Praxis on Church Growth Among Mainline Churches in the Busoga Region,” Journal of Sociology, Psychology and Religious 5, no. 5 (2025): 14-29, https://doi.org/10.70619/vol5iss5pp14-29.</w:t>
      </w:r>
    </w:p>
  </w:footnote>
  <w:footnote w:id="12">
    <w:p w14:paraId="2D5E6122" w14:textId="77777777" w:rsidR="0071350F" w:rsidRDefault="00000000">
      <w:pPr>
        <w:spacing w:after="0" w:line="240" w:lineRule="auto"/>
      </w:pPr>
      <w:r>
        <w:rPr>
          <w:rFonts w:eastAsia="Cambria"/>
          <w:sz w:val="18"/>
          <w:szCs w:val="18"/>
        </w:rPr>
        <w:footnoteRef/>
      </w:r>
      <w:r>
        <w:rPr>
          <w:rFonts w:eastAsia="Cambria"/>
          <w:sz w:val="18"/>
          <w:szCs w:val="18"/>
        </w:rPr>
        <w:t>Susila dan Pradita, “Peran Pelayanan Diakonia,” 124-133.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F27FF" w14:textId="77777777" w:rsidR="00537A88" w:rsidRDefault="00000000">
    <w:pPr>
      <w:spacing w:after="0" w:line="240" w:lineRule="auto"/>
      <w:rPr>
        <w:rFonts w:ascii="NewsGoth Cn BT" w:eastAsia="NewsGoth Cn BT" w:hAnsi="NewsGoth Cn BT" w:cs="NewsGoth Cn BT"/>
        <w:i/>
        <w:sz w:val="21"/>
        <w:szCs w:val="21"/>
      </w:rPr>
    </w:pPr>
    <w:r>
      <w:rPr>
        <w:rFonts w:ascii="NewsGoth Cn BT" w:eastAsia="NewsGoth Cn BT" w:hAnsi="NewsGoth Cn BT"/>
        <w:i/>
        <w:sz w:val="21"/>
      </w:rPr>
      <w:t>Basileia: Jurnal Filsafat dan Teologi, Vol. X, No. X (2026)</w:t>
    </w:r>
  </w:p>
  <w:p w14:paraId="014E6357" w14:textId="77777777" w:rsidR="00537A88" w:rsidRDefault="00537A88">
    <w:pPr>
      <w:spacing w:after="0"/>
      <w:rPr>
        <w:rFonts w:ascii="NewsGoth Cn BT" w:eastAsia="NewsGoth Cn BT" w:hAnsi="NewsGoth Cn BT" w:cs="NewsGoth Cn BT"/>
        <w:sz w:val="21"/>
        <w:szCs w:val="21"/>
      </w:rPr>
    </w:pPr>
  </w:p>
  <w:p w14:paraId="3745C444" w14:textId="77777777" w:rsidR="00537A88" w:rsidRDefault="00537A88">
    <w:pPr>
      <w:pBdr>
        <w:top w:val="nil"/>
        <w:left w:val="nil"/>
        <w:bottom w:val="nil"/>
        <w:right w:val="nil"/>
        <w:between w:val="nil"/>
      </w:pBdr>
      <w:spacing w:after="0" w:line="240" w:lineRule="auto"/>
      <w:ind w:left="1440"/>
      <w:jc w:val="both"/>
      <w:rPr>
        <w:rFonts w:eastAsia="Cambria" w:cs="Cambria"/>
        <w:i/>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6D637" w14:textId="77777777" w:rsidR="00537A88" w:rsidRDefault="00000000">
    <w:pPr>
      <w:pBdr>
        <w:top w:val="nil"/>
        <w:left w:val="nil"/>
        <w:bottom w:val="nil"/>
        <w:right w:val="nil"/>
        <w:between w:val="nil"/>
      </w:pBdr>
      <w:spacing w:after="0" w:line="240" w:lineRule="auto"/>
      <w:jc w:val="both"/>
      <w:rPr>
        <w:rFonts w:eastAsia="Cambria" w:cs="Cambria"/>
        <w:color w:val="000000"/>
        <w:sz w:val="20"/>
        <w:szCs w:val="20"/>
      </w:rPr>
    </w:pPr>
    <w:r>
      <w:rPr>
        <w:rFonts w:eastAsia="Cambria"/>
        <w:i/>
        <w:sz w:val="20"/>
      </w:rPr>
      <w:t>Sinaga et al.: Implementasi Prinsip Alkitabiah Pertumbuhan Gereja Lokal</w:t>
    </w:r>
  </w:p>
  <w:p w14:paraId="12A4A006" w14:textId="77777777" w:rsidR="00537A88" w:rsidRDefault="00537A88">
    <w:pPr>
      <w:jc w:val="right"/>
      <w:rPr>
        <w:rFonts w:ascii="NewsGoth Cn BT" w:eastAsia="NewsGoth Cn BT" w:hAnsi="NewsGoth Cn BT" w:cs="NewsGoth Cn BT"/>
        <w:i/>
        <w:sz w:val="21"/>
        <w:szCs w:val="21"/>
      </w:rPr>
    </w:pPr>
  </w:p>
  <w:p w14:paraId="509BC7D1" w14:textId="77777777" w:rsidR="00537A88" w:rsidRDefault="00537A88">
    <w:pPr>
      <w:spacing w:after="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546B2"/>
    <w:multiLevelType w:val="multilevel"/>
    <w:tmpl w:val="A86004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65460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A88"/>
    <w:rsid w:val="002F0379"/>
    <w:rsid w:val="00537A88"/>
    <w:rsid w:val="005A4EDC"/>
    <w:rsid w:val="006135EC"/>
    <w:rsid w:val="0071350F"/>
    <w:rsid w:val="00AD7204"/>
    <w:rsid w:val="00D55644"/>
    <w:rsid w:val="00FD724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09FD6"/>
  <w15:docId w15:val="{EFDC7B8D-905E-4B53-BB96-2011DF9EC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2C22"/>
    <w:rPr>
      <w:rFonts w:ascii="Cambria" w:hAnsi="Cambria"/>
      <w:sz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91002E"/>
    <w:pPr>
      <w:keepNext/>
      <w:keepLines/>
      <w:spacing w:before="200" w:after="0" w:line="276"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EC6CA6"/>
    <w:pPr>
      <w:spacing w:after="0" w:line="240" w:lineRule="auto"/>
    </w:pPr>
    <w:rPr>
      <w:rFonts w:ascii="Times New Roman" w:eastAsia="Times New Roman" w:hAnsi="Times New Roman"/>
      <w:sz w:val="24"/>
    </w:rPr>
  </w:style>
  <w:style w:type="paragraph" w:styleId="FootnoteText">
    <w:name w:val="footnote text"/>
    <w:basedOn w:val="Normal"/>
    <w:link w:val="FootnoteTextChar"/>
    <w:uiPriority w:val="99"/>
    <w:unhideWhenUsed/>
    <w:rsid w:val="00394B36"/>
    <w:pPr>
      <w:spacing w:after="0" w:line="240" w:lineRule="auto"/>
    </w:pPr>
    <w:rPr>
      <w:sz w:val="20"/>
      <w:szCs w:val="20"/>
    </w:rPr>
  </w:style>
  <w:style w:type="character" w:customStyle="1" w:styleId="FootnoteTextChar">
    <w:name w:val="Footnote Text Char"/>
    <w:basedOn w:val="DefaultParagraphFont"/>
    <w:link w:val="FootnoteText"/>
    <w:uiPriority w:val="99"/>
    <w:rsid w:val="00394B36"/>
    <w:rPr>
      <w:sz w:val="20"/>
      <w:szCs w:val="20"/>
    </w:rPr>
  </w:style>
  <w:style w:type="character" w:styleId="FootnoteReference">
    <w:name w:val="footnote reference"/>
    <w:basedOn w:val="DefaultParagraphFont"/>
    <w:uiPriority w:val="99"/>
    <w:semiHidden/>
    <w:unhideWhenUsed/>
    <w:rsid w:val="00394B36"/>
    <w:rPr>
      <w:vertAlign w:val="superscript"/>
    </w:rPr>
  </w:style>
  <w:style w:type="character" w:styleId="Hyperlink">
    <w:name w:val="Hyperlink"/>
    <w:basedOn w:val="DefaultParagraphFont"/>
    <w:uiPriority w:val="99"/>
    <w:unhideWhenUsed/>
    <w:rsid w:val="00A05738"/>
    <w:rPr>
      <w:color w:val="0000FF" w:themeColor="hyperlink"/>
      <w:u w:val="single"/>
    </w:rPr>
  </w:style>
  <w:style w:type="paragraph" w:styleId="Header">
    <w:name w:val="header"/>
    <w:basedOn w:val="Normal"/>
    <w:link w:val="HeaderChar"/>
    <w:uiPriority w:val="99"/>
    <w:unhideWhenUsed/>
    <w:rsid w:val="00393B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3BA7"/>
  </w:style>
  <w:style w:type="paragraph" w:styleId="Footer">
    <w:name w:val="footer"/>
    <w:basedOn w:val="Normal"/>
    <w:link w:val="FooterChar"/>
    <w:uiPriority w:val="99"/>
    <w:unhideWhenUsed/>
    <w:rsid w:val="00393B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3BA7"/>
  </w:style>
  <w:style w:type="character" w:styleId="CommentReference">
    <w:name w:val="annotation reference"/>
    <w:basedOn w:val="DefaultParagraphFont"/>
    <w:uiPriority w:val="99"/>
    <w:semiHidden/>
    <w:unhideWhenUsed/>
    <w:rsid w:val="00B93EC3"/>
    <w:rPr>
      <w:sz w:val="16"/>
      <w:szCs w:val="16"/>
    </w:rPr>
  </w:style>
  <w:style w:type="paragraph" w:styleId="CommentText">
    <w:name w:val="annotation text"/>
    <w:basedOn w:val="Normal"/>
    <w:link w:val="CommentTextChar"/>
    <w:uiPriority w:val="99"/>
    <w:semiHidden/>
    <w:unhideWhenUsed/>
    <w:rsid w:val="00B93EC3"/>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B93EC3"/>
    <w:rPr>
      <w:sz w:val="20"/>
      <w:szCs w:val="20"/>
    </w:rPr>
  </w:style>
  <w:style w:type="paragraph" w:styleId="CommentSubject">
    <w:name w:val="annotation subject"/>
    <w:basedOn w:val="CommentText"/>
    <w:next w:val="CommentText"/>
    <w:link w:val="CommentSubjectChar"/>
    <w:uiPriority w:val="99"/>
    <w:semiHidden/>
    <w:unhideWhenUsed/>
    <w:rsid w:val="00B93EC3"/>
    <w:rPr>
      <w:b/>
      <w:bCs/>
    </w:rPr>
  </w:style>
  <w:style w:type="character" w:customStyle="1" w:styleId="CommentSubjectChar">
    <w:name w:val="Comment Subject Char"/>
    <w:basedOn w:val="CommentTextChar"/>
    <w:link w:val="CommentSubject"/>
    <w:uiPriority w:val="99"/>
    <w:semiHidden/>
    <w:rsid w:val="00B93EC3"/>
    <w:rPr>
      <w:b/>
      <w:bCs/>
      <w:sz w:val="20"/>
      <w:szCs w:val="20"/>
    </w:rPr>
  </w:style>
  <w:style w:type="paragraph" w:styleId="BalloonText">
    <w:name w:val="Balloon Text"/>
    <w:basedOn w:val="Normal"/>
    <w:link w:val="BalloonTextChar"/>
    <w:uiPriority w:val="99"/>
    <w:semiHidden/>
    <w:unhideWhenUsed/>
    <w:rsid w:val="00B93E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3EC3"/>
    <w:rPr>
      <w:rFonts w:ascii="Tahoma" w:hAnsi="Tahoma" w:cs="Tahoma"/>
      <w:sz w:val="16"/>
      <w:szCs w:val="16"/>
    </w:rPr>
  </w:style>
  <w:style w:type="table" w:styleId="TableGrid">
    <w:name w:val="Table Grid"/>
    <w:basedOn w:val="TableNormal"/>
    <w:uiPriority w:val="59"/>
    <w:rsid w:val="008817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uiPriority w:val="62"/>
    <w:rsid w:val="008817A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Shading-Accent11">
    <w:name w:val="Light Shading - Accent 11"/>
    <w:basedOn w:val="TableNormal"/>
    <w:uiPriority w:val="60"/>
    <w:rsid w:val="002D7355"/>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List11">
    <w:name w:val="Medium List 11"/>
    <w:basedOn w:val="TableNormal"/>
    <w:uiPriority w:val="65"/>
    <w:rsid w:val="00672C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ListParagraph">
    <w:name w:val="List Paragraph"/>
    <w:basedOn w:val="Normal"/>
    <w:uiPriority w:val="34"/>
    <w:qFormat/>
    <w:rsid w:val="004F3FE4"/>
    <w:pPr>
      <w:spacing w:after="200" w:line="276" w:lineRule="auto"/>
      <w:ind w:left="720"/>
      <w:contextualSpacing/>
    </w:pPr>
  </w:style>
  <w:style w:type="character" w:styleId="Emphasis">
    <w:name w:val="Emphasis"/>
    <w:basedOn w:val="DefaultParagraphFont"/>
    <w:uiPriority w:val="20"/>
    <w:qFormat/>
    <w:rsid w:val="004F3FE4"/>
    <w:rPr>
      <w:i/>
      <w:iCs/>
    </w:rPr>
  </w:style>
  <w:style w:type="character" w:customStyle="1" w:styleId="cc-license-title">
    <w:name w:val="cc-license-title"/>
    <w:basedOn w:val="DefaultParagraphFont"/>
    <w:rsid w:val="004F307C"/>
  </w:style>
  <w:style w:type="character" w:customStyle="1" w:styleId="cc-license-identifier">
    <w:name w:val="cc-license-identifier"/>
    <w:basedOn w:val="DefaultParagraphFont"/>
    <w:rsid w:val="004F307C"/>
  </w:style>
  <w:style w:type="paragraph" w:styleId="HTMLPreformatted">
    <w:name w:val="HTML Preformatted"/>
    <w:basedOn w:val="Normal"/>
    <w:link w:val="HTMLPreformattedChar"/>
    <w:uiPriority w:val="99"/>
    <w:unhideWhenUsed/>
    <w:rsid w:val="008F5E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F5EA3"/>
    <w:rPr>
      <w:rFonts w:ascii="Courier New" w:eastAsia="Times New Roman" w:hAnsi="Courier New" w:cs="Courier New"/>
      <w:sz w:val="20"/>
      <w:szCs w:val="20"/>
    </w:rPr>
  </w:style>
  <w:style w:type="paragraph" w:customStyle="1" w:styleId="Default">
    <w:name w:val="Default"/>
    <w:rsid w:val="008F5EA3"/>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311E36"/>
    <w:rPr>
      <w:color w:val="605E5C"/>
      <w:shd w:val="clear" w:color="auto" w:fill="E1DFDD"/>
    </w:rPr>
  </w:style>
  <w:style w:type="paragraph" w:styleId="NormalWeb">
    <w:name w:val="Normal (Web)"/>
    <w:basedOn w:val="Normal"/>
    <w:uiPriority w:val="99"/>
    <w:unhideWhenUsed/>
    <w:rsid w:val="001419AB"/>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2Char">
    <w:name w:val="Heading 2 Char"/>
    <w:basedOn w:val="DefaultParagraphFont"/>
    <w:link w:val="Heading2"/>
    <w:uiPriority w:val="9"/>
    <w:rsid w:val="0091002E"/>
    <w:rPr>
      <w:rFonts w:asciiTheme="majorHAnsi" w:eastAsiaTheme="majorEastAsia" w:hAnsiTheme="majorHAnsi" w:cstheme="majorBidi"/>
      <w:b/>
      <w:bCs/>
      <w:color w:val="4F81BD" w:themeColor="accent1"/>
      <w:sz w:val="26"/>
      <w:szCs w:val="2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Pr>
    <w:tblStylePr w:type="firstRow">
      <w:pPr>
        <w:spacing w:before="0" w:after="0" w:line="240" w:lineRule="auto"/>
      </w:pPr>
      <w:rPr>
        <w:b/>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rPr>
      <w:tblPr/>
      <w:tcPr>
        <w:tcBorders>
          <w:top w:val="single" w:sz="8" w:space="0" w:color="4F81BD"/>
          <w:left w:val="nil"/>
          <w:bottom w:val="single" w:sz="8" w:space="0" w:color="4F81BD"/>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erpzc3eiJv7amtZW9c0UbKpmBA==">CgMxLjAyDmguNWcxZHdwcWN2NDNzMg5oLmFtZGg2eWp1aHhnbDgAciExeWtqOVJ6em5TMFpaX0ZkNXdyS1pzWkpMeS1iR0VjTHg=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2756</Words>
  <Characters>15712</Characters>
  <Application>Microsoft Office Word</Application>
  <DocSecurity>0</DocSecurity>
  <Lines>130</Lines>
  <Paragraphs>36</Paragraphs>
  <ScaleCrop>false</ScaleCrop>
  <Company/>
  <LinksUpToDate>false</LinksUpToDate>
  <CharactersWithSpaces>18432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Implementasi Prinsip Alkitabiah Pertumbuhan Gereja Lokal di GMAHK Jemaat Immanuel Sigaol-Samosir</dc:title>
  <dc:subject>Artikel Pengabdian kepada Masyarakat dalam format Basileia: Jurnal Filsafat dan Teologi</dc:subject>
  <dc:creator>Elfri Darlin Sinaga; Yoanes Sinaga; Donald L. Muntu; Amser Sianturi</dc:creator>
  <cp:keywords>pertumbuhan gereja, prinsip Alkitabiah, GMAHK, kelompok kecil, penginjilan</cp:keywords>
  <cp:lastModifiedBy>Yoanes Sinaga</cp:lastModifiedBy>
  <cp:revision>3</cp:revision>
  <dcterms:created xsi:type="dcterms:W3CDTF">2020-12-30T08:38:00Z</dcterms:created>
  <dcterms:modified xsi:type="dcterms:W3CDTF">2026-07-24T02:29:00Z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95c451ee-316b-36ad-9ff6-9dc7641ac7c4</vt:lpwstr>
  </property>
  <property fmtid="{D5CDD505-2E9C-101B-9397-08002B2CF9AE}" pid="24" name="Mendeley Citation Style_1">
    <vt:lpwstr>http://www.zotero.org/styles/turabian-fullnote-bibliography</vt:lpwstr>
  </property>
</Properties>
</file>